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513126</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val="en-US" w:eastAsia="zh-CN"/>
        </w:rPr>
        <w:t>Prague, Czech Republic,</w:t>
      </w:r>
      <w:r>
        <w:rPr>
          <w:rFonts w:hint="default"/>
          <w:b/>
          <w:sz w:val="24"/>
          <w:szCs w:val="24"/>
          <w:highlight w:val="none"/>
          <w:lang w:eastAsia="zh-CN"/>
        </w:rPr>
        <w:t xml:space="preserve"> </w:t>
      </w:r>
      <w:r>
        <w:rPr>
          <w:b/>
          <w:sz w:val="24"/>
          <w:szCs w:val="24"/>
          <w:highlight w:val="none"/>
          <w:lang w:eastAsia="zh-CN"/>
        </w:rPr>
        <w:t>Oct. 13-17, 2025</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10</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spectrum sharing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spectrum sharing</w:t>
      </w:r>
      <w:r>
        <w:rPr>
          <w:rFonts w:ascii="Times New Roman" w:hAnsi="Times New Roman"/>
          <w:sz w:val="20"/>
          <w:szCs w:val="20"/>
        </w:rPr>
        <w:t xml:space="preserve"> are duplicated as following.</w:t>
      </w:r>
    </w:p>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FAC150B">
            <w:pPr>
              <w:pStyle w:val="14"/>
              <w:numPr>
                <w:ilvl w:val="0"/>
                <w:numId w:val="5"/>
              </w:numPr>
              <w:spacing w:after="120"/>
              <w:ind w:left="0" w:leftChars="0" w:firstLine="0" w:firstLineChars="0"/>
              <w:jc w:val="both"/>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Migration from 5G NR to 6GR as well as interworking and mobility between 5G NR and 6GR:</w:t>
            </w:r>
          </w:p>
          <w:p w14:paraId="67B02614">
            <w:pPr>
              <w:pStyle w:val="14"/>
              <w:numPr>
                <w:ilvl w:val="0"/>
                <w:numId w:val="6"/>
              </w:numPr>
              <w:spacing w:after="120"/>
              <w:ind w:left="60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5G-6G Multi-RAT Spectrum Sharing for migration [RAN1</w:t>
            </w:r>
            <w:r>
              <w:rPr>
                <w:rFonts w:hint="default" w:ascii="Times New Roman" w:hAnsi="Times New Roman" w:cs="Times New Roman"/>
                <w:color w:val="000000" w:themeColor="text1"/>
                <w:sz w:val="20"/>
                <w:szCs w:val="20"/>
                <w:lang w:eastAsia="ja-JP"/>
                <w14:textFill>
                  <w14:solidFill>
                    <w14:schemeClr w14:val="tx1"/>
                  </w14:solidFill>
                </w14:textFill>
              </w:rPr>
              <w:t>,</w:t>
            </w:r>
            <w:r>
              <w:rPr>
                <w:rFonts w:hint="default" w:ascii="Times New Roman" w:hAnsi="Times New Roman" w:cs="Times New Roman"/>
                <w:color w:val="000000" w:themeColor="text1"/>
                <w:sz w:val="20"/>
                <w:szCs w:val="20"/>
                <w14:textFill>
                  <w14:solidFill>
                    <w14:schemeClr w14:val="tx1"/>
                  </w14:solidFill>
                </w14:textFill>
              </w:rPr>
              <w:t xml:space="preserve"> RAN2, RAN4, RAN3]</w:t>
            </w:r>
          </w:p>
          <w:p w14:paraId="6BB1BA5C">
            <w:pPr>
              <w:pStyle w:val="14"/>
              <w:numPr>
                <w:ilvl w:val="0"/>
                <w:numId w:val="6"/>
              </w:numPr>
              <w:spacing w:after="120"/>
              <w:ind w:left="60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if any additional </w:t>
            </w:r>
            <w:r>
              <w:rPr>
                <w:rFonts w:hint="default" w:ascii="Times New Roman" w:hAnsi="Times New Roman" w:cs="Times New Roman"/>
                <w:color w:val="000000" w:themeColor="text1"/>
                <w:sz w:val="20"/>
                <w:szCs w:val="20"/>
                <w:lang w:eastAsia="ja-JP"/>
                <w14:textFill>
                  <w14:solidFill>
                    <w14:schemeClr w14:val="tx1"/>
                  </w14:solidFill>
                </w14:textFill>
              </w:rPr>
              <w:t>migration</w:t>
            </w:r>
            <w:r>
              <w:rPr>
                <w:rFonts w:hint="default" w:ascii="Times New Roman" w:hAnsi="Times New Roman" w:cs="Times New Roman"/>
                <w:color w:val="000000" w:themeColor="text1"/>
                <w:sz w:val="20"/>
                <w:szCs w:val="20"/>
                <w14:textFill>
                  <w14:solidFill>
                    <w14:schemeClr w14:val="tx1"/>
                  </w14:solidFill>
                </w14:textFill>
              </w:rPr>
              <w:t xml:space="preserve"> mechanism is necessary. [RAN] [RAN2, RAN1, RAN3, RAN4]</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NOTE: the start of this study objective</w:t>
            </w:r>
            <w:r>
              <w:rPr>
                <w:rFonts w:hint="default" w:ascii="Times New Roman" w:hAnsi="Times New Roman" w:cs="Times New Roman"/>
                <w:color w:val="000000" w:themeColor="text1"/>
                <w:sz w:val="20"/>
                <w:szCs w:val="20"/>
                <w:lang w:eastAsia="ja-JP"/>
                <w14:textFill>
                  <w14:solidFill>
                    <w14:schemeClr w14:val="tx1"/>
                  </w14:solidFill>
                </w14:textFill>
              </w:rPr>
              <w:t xml:space="preserve"> (b)</w:t>
            </w:r>
            <w:r>
              <w:rPr>
                <w:rFonts w:hint="default" w:ascii="Times New Roman" w:hAnsi="Times New Roman" w:cs="Times New Roman"/>
                <w:color w:val="000000" w:themeColor="text1"/>
                <w:sz w:val="20"/>
                <w:szCs w:val="20"/>
                <w14:textFill>
                  <w14:solidFill>
                    <w14:schemeClr w14:val="tx1"/>
                  </w14:solidFill>
                </w14:textFill>
              </w:rPr>
              <w:t xml:space="preserve"> </w:t>
            </w:r>
            <w:r>
              <w:rPr>
                <w:rFonts w:hint="default" w:ascii="Times New Roman" w:hAnsi="Times New Roman" w:cs="Times New Roman"/>
                <w:color w:val="000000" w:themeColor="text1"/>
                <w:sz w:val="20"/>
                <w:szCs w:val="20"/>
                <w:lang w:eastAsia="ja-JP"/>
                <w14:textFill>
                  <w14:solidFill>
                    <w14:schemeClr w14:val="tx1"/>
                  </w14:solidFill>
                </w14:textFill>
              </w:rPr>
              <w:t>should</w:t>
            </w:r>
            <w:r>
              <w:rPr>
                <w:rFonts w:hint="default" w:ascii="Times New Roman" w:hAnsi="Times New Roman" w:cs="Times New Roman"/>
                <w:color w:val="000000" w:themeColor="text1"/>
                <w:sz w:val="20"/>
                <w:szCs w:val="20"/>
                <w14:textFill>
                  <w14:solidFill>
                    <w14:schemeClr w14:val="tx1"/>
                  </w14:solidFill>
                </w14:textFill>
              </w:rPr>
              <w:t xml:space="preserve"> be triggered by RAN plenary</w:t>
            </w:r>
            <w:r>
              <w:rPr>
                <w:rFonts w:hint="default" w:ascii="Times New Roman" w:hAnsi="Times New Roman" w:cs="Times New Roman"/>
                <w:color w:val="000000" w:themeColor="text1"/>
                <w:sz w:val="20"/>
                <w:szCs w:val="20"/>
                <w:lang w:eastAsia="ja-JP"/>
                <w14:textFill>
                  <w14:solidFill>
                    <w14:schemeClr w14:val="tx1"/>
                  </w14:solidFill>
                </w14:textFill>
              </w:rPr>
              <w:t xml:space="preserve"> in time to guarantee proper completion of the WG study</w:t>
            </w:r>
            <w:r>
              <w:rPr>
                <w:rFonts w:hint="default" w:ascii="Times New Roman" w:hAnsi="Times New Roman" w:cs="Times New Roman"/>
                <w:color w:val="000000" w:themeColor="text1"/>
                <w:sz w:val="20"/>
                <w:szCs w:val="20"/>
                <w14:textFill>
                  <w14:solidFill>
                    <w14:schemeClr w14:val="tx1"/>
                  </w14:solidFill>
                </w14:textFill>
              </w:rPr>
              <w:t>.</w:t>
            </w:r>
          </w:p>
          <w:p w14:paraId="7584FE0C">
            <w:pPr>
              <w:pStyle w:val="14"/>
              <w:numPr>
                <w:ilvl w:val="0"/>
                <w:numId w:val="6"/>
              </w:numPr>
              <w:spacing w:after="120"/>
              <w:ind w:left="60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Mobility between 5G NR and 6GR [RAN2, RAN3, RAN4]</w:t>
            </w:r>
          </w:p>
          <w:p w14:paraId="5F3616BD">
            <w:pPr>
              <w:spacing w:after="120"/>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lang w:eastAsia="ja-JP"/>
                <w14:textFill>
                  <w14:solidFill>
                    <w14:schemeClr w14:val="tx1"/>
                  </w14:solidFill>
                </w14:textFill>
              </w:rPr>
              <w:t>Note: Inclusion of LTE/6G interworking/coexistence aspects may be further discussed based on the requirement from RAN plenary</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about RAN4 6G topic planning based on 6G SID, RAN4 6G plan and meeting arrangement was approved [2]. This meeting is RAN4 first meeting to discuss 6GR. </w:t>
      </w:r>
      <w:r>
        <w:rPr>
          <w:rFonts w:ascii="Times New Roman" w:hAnsi="Times New Roman"/>
          <w:sz w:val="20"/>
          <w:szCs w:val="20"/>
        </w:rPr>
        <w:t>T</w:t>
      </w:r>
      <w:r>
        <w:rPr>
          <w:rFonts w:hint="eastAsia" w:ascii="Times New Roman" w:hAnsi="Times New Roman"/>
          <w:sz w:val="20"/>
          <w:szCs w:val="20"/>
        </w:rPr>
        <w:t>his contribution provides discussion o</w:t>
      </w:r>
      <w:r>
        <w:rPr>
          <w:rFonts w:hint="eastAsia" w:ascii="Times New Roman" w:hAnsi="Times New Roman"/>
          <w:sz w:val="20"/>
          <w:szCs w:val="20"/>
          <w:lang w:val="en-US" w:eastAsia="zh-CN"/>
        </w:rPr>
        <w:t>n spectrum sharing.</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449C87AD">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2.1 Multi-RAT Spectrum Sharing</w:t>
      </w:r>
    </w:p>
    <w:p w14:paraId="67185DC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the SID [1], at least 5G-6G Multi-RAT Spectrum Sharing and mobility between 5G NR and 6GR are considered. Whether additional migration mechanism is necessary will be studied in RAN plenary.</w:t>
      </w:r>
    </w:p>
    <w:p w14:paraId="5D14649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RAN#109 meeting, the pCR on requirements for architecture and migration for 6G was approved [2]. It can be seen that Multi-RAT Spectrum Sharing between 6GR and NR and inter-RAT mobility between the 6GR and NR are considered for migration from 5G NR to 6GR.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CB0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2F394E0">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lang w:val="en-US" w:eastAsia="zh-CN"/>
              </w:rPr>
              <w:t>Agreements on architecture and migration for 6G in RAN#109</w:t>
            </w:r>
          </w:p>
          <w:p w14:paraId="5EE1A69A">
            <w:p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val="en-US" w:eastAsia="zh-CN"/>
              </w:rPr>
              <w:t>The RAN design for the 6G Radio Access Technologies shall be designed to fulfil the following requirements:</w:t>
            </w:r>
          </w:p>
          <w:p w14:paraId="39B7BA67">
            <w:pPr>
              <w:pStyle w:val="17"/>
              <w:overflowPunct w:val="0"/>
              <w:autoSpaceDE w:val="0"/>
              <w:autoSpaceDN w:val="0"/>
              <w:adjustRightInd w:val="0"/>
              <w:spacing w:after="180"/>
              <w:ind w:left="568" w:hanging="284"/>
              <w:jc w:val="left"/>
              <w:textAlignment w:val="baseline"/>
              <w:rPr>
                <w:rFonts w:hint="default" w:ascii="Times New Roman" w:hAnsi="Times New Roman" w:cs="Times New Roman" w:eastAsiaTheme="minorEastAsia"/>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support standalone RAN architecture.</w:t>
            </w:r>
          </w:p>
          <w:p w14:paraId="2F9F6E16">
            <w:pPr>
              <w:pStyle w:val="17"/>
              <w:overflowPunct w:val="0"/>
              <w:autoSpaceDE w:val="0"/>
              <w:autoSpaceDN w:val="0"/>
              <w:adjustRightInd w:val="0"/>
              <w:spacing w:after="180"/>
              <w:ind w:left="568" w:hanging="284"/>
              <w:jc w:val="left"/>
              <w:textAlignment w:val="baseline"/>
              <w:rPr>
                <w:rFonts w:hint="default" w:ascii="Times New Roman" w:hAnsi="Times New Roman" w:cs="Times New Roman" w:eastAsiaTheme="minorEastAsia"/>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shall support Multi-RAT Spectrum Sharing between 6GR and NR.</w:t>
            </w:r>
          </w:p>
          <w:p w14:paraId="5C69943F">
            <w:pPr>
              <w:pStyle w:val="17"/>
              <w:overflowPunct w:val="0"/>
              <w:autoSpaceDE w:val="0"/>
              <w:autoSpaceDN w:val="0"/>
              <w:adjustRightInd w:val="0"/>
              <w:spacing w:after="180"/>
              <w:ind w:left="568" w:hanging="284"/>
              <w:jc w:val="left"/>
              <w:textAlignment w:val="baseline"/>
              <w:rPr>
                <w:rFonts w:hint="default" w:ascii="Times New Roman" w:hAnsi="Times New Roman" w:cs="Times New Roman" w:eastAsiaTheme="minorEastAsia"/>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support inter-RAT mobility between the 6GR and NR.</w:t>
            </w:r>
          </w:p>
          <w:p w14:paraId="5876CABC">
            <w:pPr>
              <w:pStyle w:val="17"/>
              <w:overflowPunct w:val="0"/>
              <w:autoSpaceDE w:val="0"/>
              <w:autoSpaceDN w:val="0"/>
              <w:adjustRightInd w:val="0"/>
              <w:spacing w:after="180"/>
              <w:ind w:left="568" w:hanging="284"/>
              <w:jc w:val="left"/>
              <w:textAlignment w:val="baseline"/>
              <w:rPr>
                <w:rFonts w:hint="default" w:ascii="Times New Roman" w:hAnsi="Times New Roman" w:cs="Times New Roman" w:eastAsiaTheme="minorEastAsia"/>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support connectivity through multiple TRPs, either collocated or non-collocated.</w:t>
            </w:r>
          </w:p>
          <w:p w14:paraId="78CA11C6">
            <w:pPr>
              <w:pStyle w:val="17"/>
              <w:overflowPunct w:val="0"/>
              <w:autoSpaceDE w:val="0"/>
              <w:autoSpaceDN w:val="0"/>
              <w:adjustRightInd w:val="0"/>
              <w:spacing w:after="180"/>
              <w:ind w:left="568" w:hanging="284"/>
              <w:jc w:val="left"/>
              <w:textAlignment w:val="baseline"/>
              <w:rPr>
                <w:rFonts w:hint="default" w:ascii="Times New Roman" w:hAnsi="Times New Roman" w:cs="Times New Roman" w:eastAsiaTheme="minorEastAsia"/>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cs="Times New Roman" w:eastAsiaTheme="minorEastAsia"/>
                <w:sz w:val="20"/>
                <w:szCs w:val="20"/>
                <w:lang w:val="nb-NO" w:eastAsia="ja-JP"/>
              </w:rPr>
              <w:t xml:space="preserve">The </w:t>
            </w:r>
            <w:r>
              <w:rPr>
                <w:rFonts w:hint="default" w:ascii="Times New Roman" w:hAnsi="Times New Roman" w:eastAsia="Times New Roman" w:cs="Times New Roman"/>
                <w:sz w:val="20"/>
                <w:szCs w:val="20"/>
                <w:lang w:val="nb-NO"/>
              </w:rPr>
              <w:t>6G RAT shall support Spectrum Aggregation (e.g. Carrier Aggregation) for both uplink and downlink, and for both co-located and non-co-located TRPs</w:t>
            </w:r>
            <w:r>
              <w:rPr>
                <w:rFonts w:hint="default" w:ascii="Times New Roman" w:hAnsi="Times New Roman" w:cs="Times New Roman" w:eastAsiaTheme="minorEastAsia"/>
                <w:sz w:val="20"/>
                <w:szCs w:val="20"/>
                <w:lang w:val="nb-NO" w:eastAsia="ja-JP"/>
              </w:rPr>
              <w:t>.</w:t>
            </w:r>
          </w:p>
          <w:p w14:paraId="2A146408">
            <w:pPr>
              <w:pStyle w:val="17"/>
              <w:overflowPunct w:val="0"/>
              <w:autoSpaceDE w:val="0"/>
              <w:autoSpaceDN w:val="0"/>
              <w:adjustRightInd w:val="0"/>
              <w:spacing w:after="180"/>
              <w:ind w:left="568" w:hanging="284"/>
              <w:jc w:val="left"/>
              <w:textAlignment w:val="baseline"/>
              <w:rPr>
                <w:rFonts w:hint="default" w:ascii="Times New Roman" w:hAnsi="Times New Roman" w:eastAsia="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3GPP defined interfaces for 6G RAN shall be open for multi-vendor interoperability.</w:t>
            </w:r>
          </w:p>
          <w:p w14:paraId="6B4E4C36">
            <w:pPr>
              <w:pStyle w:val="17"/>
              <w:overflowPunct w:val="0"/>
              <w:autoSpaceDE w:val="0"/>
              <w:autoSpaceDN w:val="0"/>
              <w:adjustRightInd w:val="0"/>
              <w:spacing w:after="180"/>
              <w:ind w:left="568" w:hanging="284"/>
              <w:jc w:val="left"/>
              <w:textAlignment w:val="baseline"/>
              <w:rPr>
                <w:rFonts w:hint="default" w:ascii="Times New Roman" w:hAnsi="Times New Roman" w:eastAsia="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allow for control plane and user plane separation.</w:t>
            </w:r>
          </w:p>
          <w:p w14:paraId="7798B5CA">
            <w:pPr>
              <w:pStyle w:val="17"/>
              <w:overflowPunct w:val="0"/>
              <w:autoSpaceDE w:val="0"/>
              <w:autoSpaceDN w:val="0"/>
              <w:adjustRightInd w:val="0"/>
              <w:spacing w:after="180"/>
              <w:ind w:left="568" w:hanging="284"/>
              <w:jc w:val="left"/>
              <w:textAlignment w:val="baseline"/>
              <w:rPr>
                <w:rFonts w:hint="default" w:ascii="Times New Roman" w:hAnsi="Times New Roman" w:eastAsia="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support sharing of the RAN between multiple operators.</w:t>
            </w:r>
          </w:p>
          <w:p w14:paraId="388306D0">
            <w:pPr>
              <w:pStyle w:val="17"/>
              <w:overflowPunct w:val="0"/>
              <w:autoSpaceDE w:val="0"/>
              <w:autoSpaceDN w:val="0"/>
              <w:adjustRightInd w:val="0"/>
              <w:spacing w:after="180"/>
              <w:ind w:left="568" w:hanging="284"/>
              <w:jc w:val="left"/>
              <w:textAlignment w:val="baseline"/>
              <w:rPr>
                <w:rFonts w:hint="default" w:ascii="Times New Roman" w:hAnsi="Times New Roman" w:eastAsia="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allow for the operation of network slicing.</w:t>
            </w:r>
          </w:p>
          <w:p w14:paraId="52224F7C">
            <w:pPr>
              <w:pStyle w:val="17"/>
              <w:overflowPunct w:val="0"/>
              <w:autoSpaceDE w:val="0"/>
              <w:autoSpaceDN w:val="0"/>
              <w:adjustRightInd w:val="0"/>
              <w:spacing w:after="180"/>
              <w:ind w:left="568" w:hanging="284"/>
              <w:jc w:val="left"/>
              <w:textAlignment w:val="baseline"/>
              <w:rPr>
                <w:rFonts w:hint="default" w:ascii="Times New Roman" w:hAnsi="Times New Roman" w:eastAsia="Times New Roman" w:cs="Times New Roman"/>
                <w:sz w:val="20"/>
                <w:szCs w:val="20"/>
                <w:lang w:val="nb-NO"/>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6G RAN architecture shall be designed considering both terrestrial network and non-terrestrial network.</w:t>
            </w:r>
          </w:p>
          <w:p w14:paraId="2D8337BC">
            <w:pPr>
              <w:pStyle w:val="17"/>
              <w:overflowPunct w:val="0"/>
              <w:autoSpaceDE w:val="0"/>
              <w:autoSpaceDN w:val="0"/>
              <w:adjustRightInd w:val="0"/>
              <w:spacing w:after="180"/>
              <w:ind w:left="568" w:hanging="284"/>
              <w:jc w:val="left"/>
              <w:textAlignment w:val="baseline"/>
              <w:rPr>
                <w:rFonts w:hint="default" w:ascii="Times New Roman" w:hAnsi="Times New Roman" w:cs="Times New Roman" w:eastAsiaTheme="minorEastAsia"/>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cs="Times New Roman" w:eastAsiaTheme="minorEastAsia"/>
                <w:sz w:val="20"/>
                <w:szCs w:val="20"/>
                <w:lang w:val="nb-NO" w:eastAsia="ja-JP"/>
              </w:rPr>
              <w:t xml:space="preserve">The </w:t>
            </w:r>
            <w:r>
              <w:rPr>
                <w:rFonts w:hint="default" w:ascii="Times New Roman" w:hAnsi="Times New Roman" w:eastAsia="Times New Roman" w:cs="Times New Roman"/>
                <w:sz w:val="20"/>
                <w:szCs w:val="20"/>
                <w:lang w:val="nb-NO"/>
              </w:rPr>
              <w:t>6G RAN architecture shall support enhanced service awareness in RAN</w:t>
            </w:r>
            <w:r>
              <w:rPr>
                <w:rFonts w:hint="default" w:ascii="Times New Roman" w:hAnsi="Times New Roman" w:cs="Times New Roman" w:eastAsiaTheme="minorEastAsia"/>
                <w:sz w:val="20"/>
                <w:szCs w:val="20"/>
                <w:lang w:val="nb-NO" w:eastAsia="ja-JP"/>
              </w:rPr>
              <w:t>.</w:t>
            </w:r>
          </w:p>
          <w:p w14:paraId="35961F19">
            <w:pPr>
              <w:pStyle w:val="17"/>
              <w:overflowPunct w:val="0"/>
              <w:autoSpaceDE w:val="0"/>
              <w:autoSpaceDN w:val="0"/>
              <w:adjustRightInd w:val="0"/>
              <w:spacing w:after="180"/>
              <w:ind w:left="568" w:hanging="284"/>
              <w:jc w:val="left"/>
              <w:textAlignment w:val="baseline"/>
              <w:rPr>
                <w:rFonts w:hint="default" w:ascii="Times New Roman" w:hAnsi="Times New Roman" w:cs="Times New Roman" w:eastAsiaTheme="minorEastAsia"/>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eastAsia="Times New Roman" w:cs="Times New Roman"/>
                <w:sz w:val="20"/>
                <w:szCs w:val="20"/>
                <w:lang w:val="nb-NO"/>
              </w:rPr>
              <w:t>The design of the 6G RAN shall allow enhanced resilience compared to NR if/where applicable.</w:t>
            </w:r>
          </w:p>
          <w:p w14:paraId="5B33DBEB">
            <w:pPr>
              <w:pStyle w:val="17"/>
              <w:overflowPunct w:val="0"/>
              <w:autoSpaceDE w:val="0"/>
              <w:autoSpaceDN w:val="0"/>
              <w:adjustRightInd w:val="0"/>
              <w:spacing w:after="180"/>
              <w:ind w:left="568" w:hanging="284"/>
              <w:jc w:val="left"/>
              <w:textAlignment w:val="baseline"/>
              <w:rPr>
                <w:rFonts w:hint="default" w:ascii="Times New Roman" w:hAnsi="Times New Roman" w:cs="Times New Roman" w:eastAsiaTheme="minorEastAsia"/>
                <w:sz w:val="20"/>
                <w:szCs w:val="20"/>
                <w:lang w:val="nb-NO" w:eastAsia="ja-JP"/>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cs="Times New Roman" w:eastAsiaTheme="minorEastAsia"/>
                <w:sz w:val="20"/>
                <w:szCs w:val="20"/>
                <w:lang w:val="nb-NO" w:eastAsia="ja-JP"/>
              </w:rPr>
              <w:t>The design of the 6G RAN shall enable lower CAPEX/OPEX with respect to current networks.</w:t>
            </w:r>
          </w:p>
          <w:p w14:paraId="61F0DAC2">
            <w:pPr>
              <w:pStyle w:val="17"/>
              <w:overflowPunct w:val="0"/>
              <w:autoSpaceDE w:val="0"/>
              <w:autoSpaceDN w:val="0"/>
              <w:adjustRightInd w:val="0"/>
              <w:spacing w:after="180"/>
              <w:ind w:left="568" w:hanging="284"/>
              <w:jc w:val="left"/>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Times New Roman" w:cs="Times New Roman"/>
                <w:sz w:val="20"/>
                <w:szCs w:val="20"/>
                <w:lang w:val="nb-NO"/>
              </w:rPr>
              <w:t>-</w:t>
            </w:r>
            <w:r>
              <w:rPr>
                <w:rFonts w:hint="default" w:ascii="Times New Roman" w:hAnsi="Times New Roman" w:eastAsia="Times New Roman" w:cs="Times New Roman"/>
                <w:sz w:val="20"/>
                <w:szCs w:val="20"/>
                <w:lang w:val="nb-NO"/>
              </w:rPr>
              <w:tab/>
            </w:r>
            <w:r>
              <w:rPr>
                <w:rFonts w:hint="default" w:ascii="Times New Roman" w:hAnsi="Times New Roman" w:cs="Times New Roman" w:eastAsiaTheme="minorEastAsia"/>
                <w:sz w:val="20"/>
                <w:szCs w:val="20"/>
                <w:lang w:val="nb-NO" w:eastAsia="ja-JP"/>
              </w:rPr>
              <w:t>The 6G RAN architecture shall allow non-public networks.</w:t>
            </w:r>
          </w:p>
        </w:tc>
      </w:tr>
    </w:tbl>
    <w:p w14:paraId="2E404493">
      <w:pPr>
        <w:spacing w:after="180" w:line="240" w:lineRule="exact"/>
        <w:rPr>
          <w:rFonts w:hint="default" w:ascii="Times New Roman" w:hAnsi="Times New Roman" w:eastAsia="等线"/>
          <w:bCs/>
          <w:iCs/>
          <w:sz w:val="20"/>
          <w:szCs w:val="20"/>
          <w:lang w:val="en-US" w:eastAsia="zh-CN"/>
        </w:rPr>
      </w:pPr>
    </w:p>
    <w:p w14:paraId="63C3327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It is noted there is discussion on whether to consider other migration mechanism, e.g. inter-RAT dual connectivity, in RANP. We do not think this issue need to be discussed in RAN4. The discussion can be left to RANP. RAN4 study can follow RAN plenary decision and focus on Multi-RAT Spectrum Sharing, and inter-RAT mobility . </w:t>
      </w:r>
    </w:p>
    <w:p w14:paraId="2255476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issue is whether to consider the spectrum sharing between 6GR and LTE, which are under discussion in RANP/RAN1. To avoid duplication, the discussion can be left to RANP/RAN1. </w:t>
      </w:r>
    </w:p>
    <w:p w14:paraId="5E63BBC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Based on above consideration, it is propose to consider Multi-RAT Spectrum Sharing between 6GR and NR, and inter-RAT mobility between the 6GR and NR for RAN4 study. </w:t>
      </w:r>
    </w:p>
    <w:p w14:paraId="548BF5A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Multi-RAT Spectrum Sharing, it is proposed that RAN4 focus on MRSS between 6GR and NR.</w:t>
      </w:r>
    </w:p>
    <w:p w14:paraId="44F4B83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inter-RAT mobility, it is proposed that RAN4 focus on inter-RAT mobility between 6GR and NR .</w:t>
      </w:r>
    </w:p>
    <w:p w14:paraId="598B6AB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approved pCR on requirements of new and existing services for 6G [4], as highlighted in red below, 6G should support coexistence with NB-IoT (all deployment modes) and eMTC via semi-static configuration. RAN4 need to study the coexistence between 6GR and NB-IoT (all deployment modes), and coexistence between 6GR and eMTC.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86F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2EE444E">
            <w:pPr>
              <w:spacing w:after="180" w:line="240" w:lineRule="exact"/>
              <w:rPr>
                <w:rFonts w:hint="default" w:ascii="Times New Roman" w:hAnsi="Times New Roman" w:eastAsia="Calibri" w:cs="Times New Roman"/>
                <w:iCs/>
                <w:sz w:val="20"/>
                <w:szCs w:val="20"/>
                <w:lang w:bidi="ar"/>
              </w:rPr>
            </w:pPr>
            <w:r>
              <w:rPr>
                <w:rFonts w:hint="default" w:ascii="Times New Roman" w:hAnsi="Times New Roman" w:eastAsia="等线" w:cs="Times New Roman"/>
                <w:b/>
                <w:bCs w:val="0"/>
                <w:iCs/>
                <w:sz w:val="20"/>
                <w:szCs w:val="20"/>
                <w:lang w:val="en-US" w:eastAsia="zh-CN"/>
              </w:rPr>
              <w:t>Agreements in RAN#109</w:t>
            </w:r>
          </w:p>
          <w:p w14:paraId="1B102904">
            <w:pPr>
              <w:spacing w:line="256" w:lineRule="auto"/>
              <w:rPr>
                <w:rFonts w:hint="default" w:ascii="Times New Roman" w:hAnsi="Times New Roman" w:eastAsia="Calibri" w:cs="Times New Roman"/>
                <w:iCs/>
                <w:sz w:val="20"/>
                <w:szCs w:val="20"/>
              </w:rPr>
            </w:pPr>
            <w:r>
              <w:rPr>
                <w:rFonts w:hint="default" w:ascii="Times New Roman" w:hAnsi="Times New Roman" w:eastAsia="Calibri" w:cs="Times New Roman"/>
                <w:iCs/>
                <w:sz w:val="20"/>
                <w:szCs w:val="20"/>
                <w:lang w:bidi="ar"/>
              </w:rPr>
              <w:t>The 6GR and 6G RAN architecture shall support the following minimum requirements for Massive Communication</w:t>
            </w:r>
            <w:r>
              <w:rPr>
                <w:rFonts w:hint="default" w:ascii="Times New Roman" w:hAnsi="Times New Roman" w:cs="Times New Roman" w:eastAsiaTheme="minorEastAsia"/>
                <w:iCs/>
                <w:sz w:val="20"/>
                <w:szCs w:val="20"/>
                <w:lang w:eastAsia="zh-CN" w:bidi="ar"/>
              </w:rPr>
              <w:t xml:space="preserve"> (IoT)</w:t>
            </w:r>
            <w:r>
              <w:rPr>
                <w:rFonts w:hint="default" w:ascii="Times New Roman" w:hAnsi="Times New Roman" w:eastAsia="Calibri" w:cs="Times New Roman"/>
                <w:iCs/>
                <w:sz w:val="20"/>
                <w:szCs w:val="20"/>
                <w:lang w:bidi="ar"/>
              </w:rPr>
              <w:t>:</w:t>
            </w:r>
          </w:p>
          <w:p w14:paraId="53100302">
            <w:pPr>
              <w:pStyle w:val="14"/>
              <w:numPr>
                <w:ilvl w:val="0"/>
                <w:numId w:val="7"/>
              </w:numPr>
              <w:ind w:leftChars="0"/>
              <w:rPr>
                <w:rFonts w:hint="default" w:ascii="Times New Roman" w:hAnsi="Times New Roman" w:eastAsia="Calibri" w:cs="Times New Roman"/>
                <w:iCs/>
                <w:sz w:val="20"/>
                <w:szCs w:val="20"/>
                <w:lang w:eastAsia="ja-JP" w:bidi="ar"/>
              </w:rPr>
            </w:pPr>
            <w:r>
              <w:rPr>
                <w:rFonts w:hint="default" w:ascii="Times New Roman" w:hAnsi="Times New Roman" w:eastAsia="Calibri" w:cs="Times New Roman"/>
                <w:iCs/>
                <w:sz w:val="20"/>
                <w:szCs w:val="20"/>
                <w:lang w:bidi="ar"/>
              </w:rPr>
              <w:t>6G Massive Communication (IoT) shall be supported for FR1.</w:t>
            </w:r>
          </w:p>
          <w:p w14:paraId="49DCC029">
            <w:pPr>
              <w:pStyle w:val="14"/>
              <w:numPr>
                <w:ilvl w:val="1"/>
                <w:numId w:val="7"/>
              </w:numPr>
              <w:ind w:left="880" w:leftChars="0" w:hanging="440"/>
              <w:rPr>
                <w:rFonts w:hint="default" w:ascii="Times New Roman" w:hAnsi="Times New Roman" w:eastAsia="Calibri" w:cs="Times New Roman"/>
                <w:iCs/>
                <w:sz w:val="20"/>
                <w:szCs w:val="20"/>
                <w:lang w:bidi="ar"/>
              </w:rPr>
            </w:pPr>
            <w:r>
              <w:rPr>
                <w:rFonts w:hint="default" w:ascii="Times New Roman" w:hAnsi="Times New Roman" w:eastAsia="Calibri" w:cs="Times New Roman"/>
                <w:iCs/>
                <w:sz w:val="20"/>
                <w:szCs w:val="20"/>
                <w:lang w:bidi="ar"/>
              </w:rPr>
              <w:t xml:space="preserve">6GR should have a common/scalable design that supports the above usage scenario in addition to eMBB </w:t>
            </w:r>
          </w:p>
          <w:p w14:paraId="34C4AF39">
            <w:pPr>
              <w:pStyle w:val="14"/>
              <w:numPr>
                <w:ilvl w:val="2"/>
                <w:numId w:val="7"/>
              </w:numPr>
              <w:ind w:left="1320" w:leftChars="0" w:hanging="440"/>
              <w:rPr>
                <w:rFonts w:hint="default" w:ascii="Times New Roman" w:hAnsi="Times New Roman" w:eastAsia="Calibri" w:cs="Times New Roman"/>
                <w:iCs/>
                <w:sz w:val="20"/>
                <w:szCs w:val="20"/>
                <w:lang w:bidi="ar"/>
              </w:rPr>
            </w:pPr>
            <w:r>
              <w:rPr>
                <w:rFonts w:hint="default" w:ascii="Times New Roman" w:hAnsi="Times New Roman" w:eastAsia="Calibri" w:cs="Times New Roman"/>
                <w:iCs/>
                <w:sz w:val="20"/>
                <w:szCs w:val="20"/>
                <w:lang w:bidi="ar"/>
              </w:rPr>
              <w:t>Prioritize 6GR design for eMBB</w:t>
            </w:r>
          </w:p>
          <w:p w14:paraId="744D4360">
            <w:pPr>
              <w:pStyle w:val="14"/>
              <w:numPr>
                <w:ilvl w:val="1"/>
                <w:numId w:val="7"/>
              </w:numPr>
              <w:ind w:left="880" w:leftChars="0" w:hanging="440"/>
              <w:rPr>
                <w:rFonts w:hint="default" w:ascii="Times New Roman" w:hAnsi="Times New Roman" w:eastAsia="Calibri" w:cs="Times New Roman"/>
                <w:iCs/>
                <w:sz w:val="20"/>
                <w:szCs w:val="20"/>
                <w:lang w:eastAsia="ja-JP" w:bidi="ar"/>
              </w:rPr>
            </w:pPr>
            <w:r>
              <w:rPr>
                <w:rFonts w:hint="default" w:ascii="Times New Roman" w:hAnsi="Times New Roman" w:eastAsia="Calibri" w:cs="Times New Roman"/>
                <w:iCs/>
                <w:sz w:val="20"/>
                <w:szCs w:val="20"/>
                <w:lang w:bidi="ar"/>
              </w:rPr>
              <w:t>The above usage scenario should not overlap with Ambient IoT and NB-IoT</w:t>
            </w:r>
          </w:p>
          <w:p w14:paraId="4D3F16F4">
            <w:pPr>
              <w:pStyle w:val="14"/>
              <w:numPr>
                <w:ilvl w:val="0"/>
                <w:numId w:val="7"/>
              </w:numPr>
              <w:ind w:leftChars="0"/>
              <w:rPr>
                <w:rFonts w:hint="default" w:ascii="Times New Roman" w:hAnsi="Times New Roman" w:eastAsia="Calibri" w:cs="Times New Roman"/>
                <w:iCs/>
                <w:sz w:val="20"/>
                <w:szCs w:val="20"/>
                <w:lang w:eastAsia="ja-JP" w:bidi="ar"/>
              </w:rPr>
            </w:pPr>
            <w:r>
              <w:rPr>
                <w:rFonts w:hint="default" w:ascii="Times New Roman" w:hAnsi="Times New Roman" w:cs="Times New Roman" w:eastAsiaTheme="minorEastAsia"/>
                <w:iCs/>
                <w:sz w:val="20"/>
                <w:szCs w:val="20"/>
                <w:highlight w:val="none"/>
                <w:lang w:eastAsia="zh-CN" w:bidi="ar"/>
              </w:rPr>
              <w:t>[PHY or MAC] [minimum] p</w:t>
            </w:r>
            <w:r>
              <w:rPr>
                <w:rFonts w:hint="default" w:ascii="Times New Roman" w:hAnsi="Times New Roman" w:eastAsia="Calibri" w:cs="Times New Roman"/>
                <w:iCs/>
                <w:sz w:val="20"/>
                <w:szCs w:val="20"/>
                <w:lang w:bidi="ar"/>
              </w:rPr>
              <w:t>eak data rate is [</w:t>
            </w:r>
            <w:r>
              <w:rPr>
                <w:rFonts w:hint="default" w:ascii="Times New Roman" w:hAnsi="Times New Roman" w:cs="Times New Roman" w:eastAsiaTheme="minorEastAsia"/>
                <w:iCs/>
                <w:sz w:val="20"/>
                <w:szCs w:val="20"/>
                <w:highlight w:val="none"/>
                <w:lang w:eastAsia="zh-CN" w:bidi="ar"/>
              </w:rPr>
              <w:t>TBD</w:t>
            </w:r>
            <w:r>
              <w:rPr>
                <w:rFonts w:hint="default" w:ascii="Times New Roman" w:hAnsi="Times New Roman" w:eastAsia="Calibri" w:cs="Times New Roman"/>
                <w:iCs/>
                <w:sz w:val="20"/>
                <w:szCs w:val="20"/>
                <w:lang w:bidi="ar"/>
              </w:rPr>
              <w:t>] Mbps in DL and [</w:t>
            </w:r>
            <w:r>
              <w:rPr>
                <w:rFonts w:hint="default" w:ascii="Times New Roman" w:hAnsi="Times New Roman" w:cs="Times New Roman" w:eastAsiaTheme="minorEastAsia"/>
                <w:iCs/>
                <w:sz w:val="20"/>
                <w:szCs w:val="20"/>
                <w:highlight w:val="none"/>
                <w:lang w:eastAsia="zh-CN" w:bidi="ar"/>
              </w:rPr>
              <w:t>TBD</w:t>
            </w:r>
            <w:r>
              <w:rPr>
                <w:rFonts w:hint="default" w:ascii="Times New Roman" w:hAnsi="Times New Roman" w:eastAsia="Calibri" w:cs="Times New Roman"/>
                <w:iCs/>
                <w:sz w:val="20"/>
                <w:szCs w:val="20"/>
                <w:lang w:bidi="ar"/>
              </w:rPr>
              <w:t>] Mbps in UL for lowest-tier device.</w:t>
            </w:r>
          </w:p>
          <w:p w14:paraId="379F2EC8">
            <w:pPr>
              <w:pStyle w:val="18"/>
              <w:ind w:left="0" w:firstLine="0"/>
              <w:rPr>
                <w:rFonts w:hint="default" w:ascii="Times New Roman" w:hAnsi="Times New Roman" w:cs="Times New Roman"/>
                <w:sz w:val="20"/>
                <w:szCs w:val="20"/>
                <w:lang w:eastAsia="zh-CN" w:bidi="ar"/>
              </w:rPr>
            </w:pPr>
          </w:p>
          <w:p w14:paraId="5ECBB3AD">
            <w:pPr>
              <w:keepLines/>
              <w:spacing w:before="0"/>
              <w:ind w:left="1418" w:hanging="1134"/>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color w:val="FF0000"/>
                <w:sz w:val="20"/>
                <w:szCs w:val="20"/>
                <w:lang w:eastAsia="zh-CN"/>
              </w:rPr>
              <w:t>Editor note:</w:t>
            </w:r>
            <w:r>
              <w:rPr>
                <w:rFonts w:hint="default" w:ascii="Times New Roman" w:hAnsi="Times New Roman" w:cs="Times New Roman"/>
                <w:color w:val="FF0000"/>
                <w:sz w:val="20"/>
                <w:szCs w:val="20"/>
                <w:lang w:eastAsia="zh-CN"/>
              </w:rPr>
              <w:tab/>
            </w:r>
            <w:r>
              <w:rPr>
                <w:rFonts w:hint="default" w:ascii="Times New Roman" w:hAnsi="Times New Roman" w:cs="Times New Roman"/>
                <w:color w:val="FF0000"/>
                <w:sz w:val="20"/>
                <w:szCs w:val="20"/>
                <w:lang w:eastAsia="zh-CN"/>
              </w:rPr>
              <w:t>“6G should support coexistence with NB-IoT (all deployment modes) and eMTC via semi-static configuration” is moved to 5.2 (migration and architecture)</w:t>
            </w:r>
          </w:p>
        </w:tc>
      </w:tr>
    </w:tbl>
    <w:p w14:paraId="25C1B459">
      <w:pPr>
        <w:spacing w:after="180" w:line="240" w:lineRule="exact"/>
        <w:rPr>
          <w:rFonts w:hint="eastAsia" w:ascii="Times New Roman" w:hAnsi="Times New Roman" w:eastAsia="等线"/>
          <w:bCs/>
          <w:iCs/>
          <w:sz w:val="20"/>
          <w:szCs w:val="20"/>
          <w:lang w:val="en-US" w:eastAsia="zh-CN"/>
        </w:rPr>
      </w:pPr>
    </w:p>
    <w:p w14:paraId="407B012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to consider the spectrum sharing between 6GR and NB-IoT, spectrum sharing between 6GR and eMTC.</w:t>
      </w:r>
    </w:p>
    <w:p w14:paraId="67B6E90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MRSS provides a smooth and efficient evolution from NR to 6G by enabling NR and 6G systems to dynamically share the same spectral resources. For legacy frequency range, e.g. FR1 and FR2-1, the common case for MRSS is FR1, considering the better coverage of low band and limited bandwidth. For FR2-1, firstly, the coverage is limited. Secondly, large channel bandwidth, e.g. 100MHz, is assumed. Based on these consideration, we are not sure whether MRSS like DSS is needed for FR2-1. For MRSS between 6GR and NR, it is proposed to focus on bands where there is commercial NR deployment in FR1.</w:t>
      </w:r>
    </w:p>
    <w:p w14:paraId="08FD48E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MRSS between 6GR and NR, it is proposed to focus on legacy bands where there is commercial NR deployment in FR1. FFS whether to consider MRSS for FR2-1.</w:t>
      </w:r>
    </w:p>
    <w:p w14:paraId="19CFF03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GB" w:eastAsia="zh-CN"/>
        </w:rPr>
        <w:t>6425</w:t>
      </w:r>
      <w:r>
        <w:rPr>
          <w:rFonts w:hint="eastAsia" w:ascii="Times New Roman" w:hAnsi="Times New Roman" w:eastAsia="等线"/>
          <w:bCs/>
          <w:iCs/>
          <w:sz w:val="20"/>
          <w:szCs w:val="20"/>
          <w:lang w:val="en-US" w:eastAsia="zh-CN"/>
        </w:rPr>
        <w:t xml:space="preserve"> - </w:t>
      </w:r>
      <w:r>
        <w:rPr>
          <w:rFonts w:hint="eastAsia" w:ascii="Times New Roman" w:hAnsi="Times New Roman" w:eastAsia="等线"/>
          <w:bCs/>
          <w:iCs/>
          <w:sz w:val="20"/>
          <w:szCs w:val="20"/>
          <w:lang w:val="en-GB" w:eastAsia="zh-CN"/>
        </w:rPr>
        <w:t xml:space="preserve">7125 MHz range </w:t>
      </w:r>
      <w:r>
        <w:rPr>
          <w:rFonts w:hint="eastAsia" w:ascii="Times New Roman" w:hAnsi="Times New Roman" w:eastAsia="等线"/>
          <w:bCs/>
          <w:iCs/>
          <w:sz w:val="20"/>
          <w:szCs w:val="20"/>
          <w:lang w:val="en-US" w:eastAsia="zh-CN"/>
        </w:rPr>
        <w:t xml:space="preserve">has been identified as IMT spectrum regional </w:t>
      </w:r>
      <w:r>
        <w:rPr>
          <w:rFonts w:hint="eastAsia" w:ascii="Times New Roman" w:hAnsi="Times New Roman" w:eastAsia="等线"/>
          <w:bCs/>
          <w:iCs/>
          <w:sz w:val="20"/>
          <w:szCs w:val="20"/>
          <w:lang w:val="en-GB" w:eastAsia="zh-CN"/>
        </w:rPr>
        <w:t>at WRC-23</w:t>
      </w:r>
      <w:r>
        <w:rPr>
          <w:rFonts w:hint="eastAsia" w:ascii="Times New Roman" w:hAnsi="Times New Roman" w:eastAsia="等线"/>
          <w:bCs/>
          <w:iCs/>
          <w:sz w:val="20"/>
          <w:szCs w:val="20"/>
          <w:lang w:val="en-US" w:eastAsia="zh-CN"/>
        </w:rPr>
        <w:t>, and defined as band n104 in 3GPP. It is expected that there is no NR deployment at U6G, no need to consider MRSS.</w:t>
      </w:r>
    </w:p>
    <w:p w14:paraId="430170A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w:t>
      </w:r>
      <w:r>
        <w:rPr>
          <w:rFonts w:hint="default" w:ascii="Times New Roman" w:hAnsi="Times New Roman" w:eastAsia="等线"/>
          <w:bCs/>
          <w:iCs/>
          <w:sz w:val="20"/>
          <w:szCs w:val="20"/>
          <w:lang w:val="en-US" w:eastAsia="zh-CN"/>
        </w:rPr>
        <w:t>ollowing list the candidate IMT spectrum under WRC-27 agenda item 1.7</w:t>
      </w:r>
      <w:r>
        <w:rPr>
          <w:rFonts w:hint="eastAsia" w:ascii="Times New Roman" w:hAnsi="Times New Roman" w:eastAsia="等线"/>
          <w:bCs/>
          <w:iCs/>
          <w:sz w:val="20"/>
          <w:szCs w:val="20"/>
          <w:lang w:val="en-US" w:eastAsia="zh-CN"/>
        </w:rPr>
        <w:t>. For these candidate new IMT spectrum, there is no NR deployment, no need to consider MRSS.</w:t>
      </w:r>
    </w:p>
    <w:p w14:paraId="263F7C9A">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4400</w:t>
      </w:r>
      <w:r>
        <w:rPr>
          <w:rFonts w:hint="eastAsia" w:ascii="Times New Roman" w:hAnsi="Times New Roman" w:eastAsia="等线"/>
          <w:bCs/>
          <w:iCs/>
          <w:sz w:val="20"/>
          <w:szCs w:val="20"/>
          <w:lang w:val="en-US" w:eastAsia="zh-CN"/>
        </w:rPr>
        <w:t xml:space="preserve"> </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w:t>
      </w:r>
      <w:r>
        <w:rPr>
          <w:rFonts w:hint="default" w:ascii="Times New Roman" w:hAnsi="Times New Roman" w:eastAsia="等线"/>
          <w:bCs/>
          <w:iCs/>
          <w:sz w:val="20"/>
          <w:szCs w:val="20"/>
          <w:lang w:val="en-US" w:eastAsia="zh-CN"/>
        </w:rPr>
        <w:t>4800MHz: the major proponents is Russia. US tends to abandon 7125-8400MHz and shift its position to support these frequency range</w:t>
      </w:r>
    </w:p>
    <w:p w14:paraId="259A9FF3">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7125</w:t>
      </w:r>
      <w:r>
        <w:rPr>
          <w:rFonts w:hint="eastAsia" w:ascii="Times New Roman" w:hAnsi="Times New Roman" w:eastAsia="等线"/>
          <w:bCs/>
          <w:iCs/>
          <w:sz w:val="20"/>
          <w:szCs w:val="20"/>
          <w:lang w:val="en-US" w:eastAsia="zh-CN"/>
        </w:rPr>
        <w:t xml:space="preserve"> </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w:t>
      </w:r>
      <w:r>
        <w:rPr>
          <w:rFonts w:hint="default" w:ascii="Times New Roman" w:hAnsi="Times New Roman" w:eastAsia="等线"/>
          <w:bCs/>
          <w:iCs/>
          <w:sz w:val="20"/>
          <w:szCs w:val="20"/>
          <w:lang w:val="en-US" w:eastAsia="zh-CN"/>
        </w:rPr>
        <w:t>8400MHz: this frequency range was opposed by many countries and regional groups, including CEPT, due to strategic usages. These strategic usages are, and will remain, critical in all of this frequency band. Besides, this frequency range is intensively used by a large number of government satellite systems for down-links (i.e. 7 250-7 750 MHz) and up-links (i.e. 7 900-8400 MHz). The upper part of the band (i.e. 8 025-8 400 MHz) is also used for the downlink of Earth observation data by a large majority of Earth Observation satellites. On the other side, Japan and Korea tends to support such frequency range.</w:t>
      </w:r>
    </w:p>
    <w:p w14:paraId="6D0EE176">
      <w:pPr>
        <w:numPr>
          <w:ilvl w:val="0"/>
          <w:numId w:val="8"/>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14.8</w:t>
      </w:r>
      <w:r>
        <w:rPr>
          <w:rFonts w:hint="eastAsia" w:ascii="Times New Roman" w:hAnsi="Times New Roman" w:eastAsia="等线"/>
          <w:bCs/>
          <w:iCs/>
          <w:sz w:val="20"/>
          <w:szCs w:val="20"/>
          <w:lang w:val="en-US" w:eastAsia="zh-CN"/>
        </w:rPr>
        <w:t xml:space="preserve"> </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w:t>
      </w:r>
      <w:r>
        <w:rPr>
          <w:rFonts w:hint="default" w:ascii="Times New Roman" w:hAnsi="Times New Roman" w:eastAsia="等线"/>
          <w:bCs/>
          <w:iCs/>
          <w:sz w:val="20"/>
          <w:szCs w:val="20"/>
          <w:lang w:val="en-US" w:eastAsia="zh-CN"/>
        </w:rPr>
        <w:t>15.35GHz: now no countries/groups strongly support such bands</w:t>
      </w:r>
    </w:p>
    <w:p w14:paraId="5721661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for the legacy bands where there is no commercial NR deployment e.g. U6G, and new 6G spectrum, no need to consider MRSS.</w:t>
      </w:r>
    </w:p>
    <w:p w14:paraId="6C5BFC3F">
      <w:pPr>
        <w:spacing w:after="180" w:line="240" w:lineRule="exact"/>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 xml:space="preserve">For 4G-5G DSS (dynamic spectrum sharing), it has been mainly focused on FDD deployment. Given the different spectrum situation per operator/region, it </w:t>
      </w:r>
      <w:r>
        <w:rPr>
          <w:rFonts w:hint="eastAsia" w:ascii="Times New Roman" w:hAnsi="Times New Roman" w:eastAsia="等线"/>
          <w:bCs/>
          <w:iCs/>
          <w:sz w:val="20"/>
          <w:szCs w:val="20"/>
          <w:lang w:val="en-US" w:eastAsia="zh-CN"/>
        </w:rPr>
        <w:t>is not a good way</w:t>
      </w:r>
      <w:r>
        <w:rPr>
          <w:rFonts w:hint="default" w:ascii="Times New Roman" w:hAnsi="Times New Roman" w:eastAsia="等线"/>
          <w:bCs/>
          <w:iCs/>
          <w:sz w:val="20"/>
          <w:szCs w:val="20"/>
          <w:lang w:val="en-US" w:eastAsia="zh-CN"/>
        </w:rPr>
        <w:t xml:space="preserve"> to consider MRSS only in FDD just like DSS case, and the support of MRSS in TDD as well as FDD also needs to be taken into account.</w:t>
      </w:r>
    </w:p>
    <w:p w14:paraId="1FAD6E8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6: it is proposed to support MRSS in both TDD and FDD. </w:t>
      </w:r>
    </w:p>
    <w:p w14:paraId="544460D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 facilitate MRSS, many aspects need to be considered. According to the RAN4 6G Plan and Meeting Arrangement [2], the scope of system parameters include waveform, modulation, CBW, FFT, numerology, #Rx, #Tx, synchronization signal and raster, spectrum utilization, irregular channel bandwidth, device types. At least waveform, CBW, numerology, channel raster, etc may have impact on the support of MRSS. Besides, MRSS may also have impact on RF requirements design. Since this is the first meeting, it is better to identify the aspects which impact MRSS facilitation.</w:t>
      </w:r>
    </w:p>
    <w:p w14:paraId="532479D6">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it is proposed to firstly identify the aspects that RAN4 need to study for MRSS. </w:t>
      </w:r>
    </w:p>
    <w:p w14:paraId="43FBE02A">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to facilitate MRSS, it is proposed to taking following aspects as starting point for RAN4 study</w:t>
      </w:r>
    </w:p>
    <w:p w14:paraId="2D097944">
      <w:pPr>
        <w:numPr>
          <w:ilvl w:val="0"/>
          <w:numId w:val="9"/>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Waveform </w:t>
      </w:r>
    </w:p>
    <w:p w14:paraId="298D3345">
      <w:pPr>
        <w:numPr>
          <w:ilvl w:val="0"/>
          <w:numId w:val="9"/>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CBW</w:t>
      </w:r>
    </w:p>
    <w:p w14:paraId="3ED71D1B">
      <w:pPr>
        <w:numPr>
          <w:ilvl w:val="0"/>
          <w:numId w:val="9"/>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Numerology</w:t>
      </w:r>
    </w:p>
    <w:p w14:paraId="3465417C">
      <w:pPr>
        <w:numPr>
          <w:ilvl w:val="0"/>
          <w:numId w:val="9"/>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Channel/Synchronization raster</w:t>
      </w:r>
    </w:p>
    <w:p w14:paraId="1C128C29">
      <w:pPr>
        <w:numPr>
          <w:ilvl w:val="0"/>
          <w:numId w:val="9"/>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RF requirements</w:t>
      </w:r>
    </w:p>
    <w:p w14:paraId="1B9CC2C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To support MRSS, the 6G waveform need to be orthogonal with 5G waveform. Whether 5G and 6G transmissions can co-exist within shared spectrum is impacted by time-frequency orthogonality.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F328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6F6563B">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Agreements in RAN1 #122 meeting</w:t>
            </w:r>
          </w:p>
          <w:p w14:paraId="2E4F92F7">
            <w:pPr>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 xml:space="preserve">CP-OFDM </w:t>
            </w:r>
            <w:r>
              <w:rPr>
                <w:rFonts w:hint="default" w:ascii="Times New Roman" w:hAnsi="Times New Roman" w:eastAsia="等线" w:cs="Times New Roman"/>
                <w:sz w:val="20"/>
                <w:szCs w:val="20"/>
                <w:lang w:eastAsia="zh-CN"/>
              </w:rPr>
              <w:t>and</w:t>
            </w:r>
            <w:r>
              <w:rPr>
                <w:rFonts w:hint="default" w:ascii="Times New Roman" w:hAnsi="Times New Roman" w:cs="Times New Roman"/>
                <w:sz w:val="20"/>
                <w:szCs w:val="20"/>
              </w:rPr>
              <w:t xml:space="preserve"> DFT-s-OFDM waveforms as defined in 5G NR </w:t>
            </w:r>
            <w:r>
              <w:rPr>
                <w:rFonts w:hint="default" w:ascii="Times New Roman" w:hAnsi="Times New Roman" w:eastAsia="等线" w:cs="Times New Roman"/>
                <w:sz w:val="20"/>
                <w:szCs w:val="20"/>
                <w:lang w:eastAsia="zh-CN"/>
              </w:rPr>
              <w:t xml:space="preserve">are supported as the basis </w:t>
            </w:r>
            <w:r>
              <w:rPr>
                <w:rFonts w:hint="default" w:ascii="Times New Roman" w:hAnsi="Times New Roman" w:cs="Times New Roman"/>
                <w:sz w:val="20"/>
                <w:szCs w:val="20"/>
              </w:rPr>
              <w:t>for 6GR for uplink</w:t>
            </w:r>
          </w:p>
          <w:p w14:paraId="3DC5ECBD">
            <w:pPr>
              <w:pStyle w:val="14"/>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Enhancements/modifications on CP-OFDM/DFT-s-OFDM will be studied as potential additions</w:t>
            </w:r>
          </w:p>
          <w:p w14:paraId="6D17F4C9">
            <w:pPr>
              <w:pStyle w:val="14"/>
              <w:numPr>
                <w:ilvl w:val="0"/>
                <w:numId w:val="10"/>
              </w:numPr>
              <w:rPr>
                <w:rFonts w:hint="default" w:ascii="Times New Roman" w:hAnsi="Times New Roman" w:cs="Times New Roman"/>
                <w:sz w:val="20"/>
                <w:szCs w:val="20"/>
              </w:rPr>
            </w:pPr>
            <w:r>
              <w:rPr>
                <w:rFonts w:hint="default" w:ascii="Times New Roman" w:hAnsi="Times New Roman" w:eastAsia="等线" w:cs="Times New Roman"/>
                <w:sz w:val="20"/>
                <w:szCs w:val="20"/>
                <w:lang w:eastAsia="zh-CN"/>
              </w:rPr>
              <w:t>Other OFDM based waveforms are not precluded.</w:t>
            </w:r>
          </w:p>
          <w:p w14:paraId="5F377C43">
            <w:pPr>
              <w:rPr>
                <w:rFonts w:hint="default" w:ascii="Times New Roman" w:hAnsi="Times New Roman" w:cs="Times New Roman"/>
                <w:sz w:val="20"/>
                <w:szCs w:val="20"/>
              </w:rPr>
            </w:pPr>
            <w:r>
              <w:rPr>
                <w:rFonts w:hint="default" w:ascii="Times New Roman" w:hAnsi="Times New Roman" w:eastAsia="Times New Roman" w:cs="Times New Roman"/>
                <w:sz w:val="20"/>
                <w:szCs w:val="20"/>
              </w:rPr>
              <w:t>CP-OFDM waveform as defined in 5G NR is supported as the basis for 6GR for downlink</w:t>
            </w:r>
          </w:p>
          <w:p w14:paraId="6EA6F0DA">
            <w:pPr>
              <w:numPr>
                <w:ilvl w:val="0"/>
                <w:numId w:val="11"/>
              </w:numPr>
              <w:spacing w:after="180"/>
              <w:contextualSpacing/>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Enhancements/modifications on CP-OFDM will be studied as potential additions</w:t>
            </w:r>
          </w:p>
          <w:p w14:paraId="1572C539">
            <w:pPr>
              <w:numPr>
                <w:ilvl w:val="0"/>
                <w:numId w:val="11"/>
              </w:numPr>
              <w:spacing w:after="180"/>
              <w:contextualSpacing/>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 xml:space="preserve">DFT-s-OFDM or any other OFDM-based waveform will be studied as a </w:t>
            </w:r>
            <w:r>
              <w:rPr>
                <w:rFonts w:hint="default" w:ascii="Times New Roman" w:hAnsi="Times New Roman" w:eastAsia="等线" w:cs="Times New Roman"/>
                <w:sz w:val="20"/>
                <w:szCs w:val="20"/>
                <w:lang w:eastAsia="zh-CN"/>
              </w:rPr>
              <w:t xml:space="preserve">potential </w:t>
            </w:r>
            <w:r>
              <w:rPr>
                <w:rFonts w:hint="default" w:ascii="Times New Roman" w:hAnsi="Times New Roman" w:eastAsia="Times New Roman" w:cs="Times New Roman"/>
                <w:sz w:val="20"/>
                <w:szCs w:val="20"/>
              </w:rPr>
              <w:t>additional waveform for downlink</w:t>
            </w:r>
          </w:p>
          <w:p w14:paraId="3B6E3213">
            <w:pPr>
              <w:spacing w:after="180"/>
              <w:contextualSpacing/>
              <w:rPr>
                <w:rFonts w:hint="default" w:ascii="Times New Roman" w:hAnsi="Times New Roman" w:eastAsia="等线"/>
                <w:bCs/>
                <w:iCs/>
                <w:sz w:val="20"/>
                <w:szCs w:val="20"/>
                <w:vertAlign w:val="baseline"/>
                <w:lang w:val="en-US" w:eastAsia="zh-CN"/>
              </w:rPr>
            </w:pPr>
            <w:r>
              <w:rPr>
                <w:rFonts w:hint="default" w:ascii="Times New Roman" w:hAnsi="Times New Roman" w:eastAsia="Times New Roman" w:cs="Times New Roman"/>
                <w:sz w:val="20"/>
                <w:szCs w:val="20"/>
              </w:rPr>
              <w:t>Note: proponents to identify at least the target use cases, signals/channels to use the waveform, and how the proposal is intended (if applicable) to support multiplexing with CP-OFDM, including MRSS, and how multi-user multiplexing is supported</w:t>
            </w:r>
            <w:r>
              <w:rPr>
                <w:rFonts w:hint="default" w:ascii="Times New Roman" w:hAnsi="Times New Roman" w:eastAsia="等线" w:cs="Times New Roman"/>
                <w:sz w:val="20"/>
                <w:szCs w:val="20"/>
                <w:lang w:eastAsia="zh-CN"/>
              </w:rPr>
              <w:t>, etc</w:t>
            </w:r>
            <w:r>
              <w:rPr>
                <w:rFonts w:hint="default" w:ascii="Times New Roman" w:hAnsi="Times New Roman" w:eastAsia="Times New Roman" w:cs="Times New Roman"/>
                <w:sz w:val="20"/>
                <w:szCs w:val="20"/>
              </w:rPr>
              <w:t>.</w:t>
            </w:r>
          </w:p>
        </w:tc>
      </w:tr>
    </w:tbl>
    <w:p w14:paraId="53D1B9B2">
      <w:pPr>
        <w:spacing w:after="180" w:line="240" w:lineRule="exact"/>
        <w:rPr>
          <w:rFonts w:hint="eastAsia" w:ascii="Times New Roman" w:hAnsi="Times New Roman" w:eastAsia="等线"/>
          <w:bCs/>
          <w:iCs/>
          <w:sz w:val="20"/>
          <w:szCs w:val="20"/>
          <w:lang w:val="en-US" w:eastAsia="zh-CN"/>
        </w:rPr>
      </w:pPr>
    </w:p>
    <w:p w14:paraId="498839B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RAN1 meeting, it was agreed that the </w:t>
      </w:r>
      <w:r>
        <w:rPr>
          <w:rFonts w:hint="default" w:ascii="Times New Roman" w:hAnsi="Times New Roman" w:cs="Times New Roman"/>
          <w:sz w:val="20"/>
          <w:szCs w:val="20"/>
        </w:rPr>
        <w:t xml:space="preserve">waveforms defined in 5G NR </w:t>
      </w:r>
      <w:r>
        <w:rPr>
          <w:rFonts w:hint="default" w:ascii="Times New Roman" w:hAnsi="Times New Roman" w:eastAsia="等线" w:cs="Times New Roman"/>
          <w:sz w:val="20"/>
          <w:szCs w:val="20"/>
          <w:lang w:eastAsia="zh-CN"/>
        </w:rPr>
        <w:t xml:space="preserve">are supported as the basis </w:t>
      </w:r>
      <w:r>
        <w:rPr>
          <w:rFonts w:hint="default" w:ascii="Times New Roman" w:hAnsi="Times New Roman" w:cs="Times New Roman"/>
          <w:sz w:val="20"/>
          <w:szCs w:val="20"/>
        </w:rPr>
        <w:t>for 6GR</w:t>
      </w:r>
      <w:r>
        <w:rPr>
          <w:rFonts w:hint="eastAsia" w:ascii="Times New Roman" w:hAnsi="Times New Roman" w:cs="Times New Roman"/>
          <w:sz w:val="20"/>
          <w:szCs w:val="20"/>
          <w:lang w:val="en-US" w:eastAsia="zh-CN"/>
        </w:rPr>
        <w:t xml:space="preserve">. FFS other </w:t>
      </w:r>
      <w:r>
        <w:rPr>
          <w:rFonts w:hint="default" w:ascii="Times New Roman" w:hAnsi="Times New Roman" w:cs="Times New Roman"/>
          <w:sz w:val="20"/>
          <w:szCs w:val="20"/>
        </w:rPr>
        <w:t>waveforms</w:t>
      </w:r>
      <w:r>
        <w:rPr>
          <w:rFonts w:hint="eastAsia" w:ascii="Times New Roman" w:hAnsi="Times New Roman" w:cs="Times New Roman"/>
          <w:sz w:val="20"/>
          <w:szCs w:val="20"/>
          <w:lang w:val="en-US" w:eastAsia="zh-CN"/>
        </w:rPr>
        <w:t>.</w:t>
      </w:r>
      <w:r>
        <w:rPr>
          <w:rFonts w:hint="eastAsia" w:ascii="Times New Roman" w:hAnsi="Times New Roman" w:eastAsia="等线"/>
          <w:bCs/>
          <w:iCs/>
          <w:sz w:val="20"/>
          <w:szCs w:val="20"/>
          <w:lang w:val="en-US" w:eastAsia="zh-CN"/>
        </w:rPr>
        <w:t xml:space="preserve"> To enable simultaneous operation, eliminate guard band, simplify receiver complexity for MRSS, it is expected to consider the impact on MRSS for the discussion on new waveform.</w:t>
      </w:r>
    </w:p>
    <w:p w14:paraId="1619C44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9: it is proposed to consider the impact on MRSS when discuss the waveform for 6GR</w:t>
      </w:r>
    </w:p>
    <w:p w14:paraId="6553E715">
      <w:pPr>
        <w:numPr>
          <w:ilvl w:val="0"/>
          <w:numId w:val="12"/>
        </w:numPr>
        <w:spacing w:after="180" w:line="240" w:lineRule="exact"/>
        <w:ind w:left="420" w:leftChars="0" w:hanging="420" w:firstLineChars="0"/>
        <w:rPr>
          <w:rFonts w:hint="default" w:ascii="Times New Roman" w:hAnsi="Times New Roman" w:cs="Times New Roman"/>
          <w:b/>
          <w:bCs w:val="0"/>
          <w:i/>
          <w:iCs w:val="0"/>
          <w:sz w:val="20"/>
          <w:szCs w:val="20"/>
        </w:rPr>
      </w:pPr>
      <w:r>
        <w:rPr>
          <w:rFonts w:hint="eastAsia" w:ascii="Times New Roman" w:hAnsi="Times New Roman" w:eastAsia="等线"/>
          <w:b/>
          <w:bCs w:val="0"/>
          <w:i/>
          <w:iCs w:val="0"/>
          <w:sz w:val="20"/>
          <w:szCs w:val="20"/>
          <w:lang w:val="en-US" w:eastAsia="zh-CN"/>
        </w:rPr>
        <w:t xml:space="preserve">RAN1 agreed that the </w:t>
      </w:r>
      <w:r>
        <w:rPr>
          <w:rFonts w:hint="default" w:ascii="Times New Roman" w:hAnsi="Times New Roman" w:cs="Times New Roman"/>
          <w:b/>
          <w:bCs w:val="0"/>
          <w:i/>
          <w:iCs w:val="0"/>
          <w:sz w:val="20"/>
          <w:szCs w:val="20"/>
        </w:rPr>
        <w:t xml:space="preserve">waveforms defined in 5G NR </w:t>
      </w:r>
      <w:r>
        <w:rPr>
          <w:rFonts w:hint="default" w:ascii="Times New Roman" w:hAnsi="Times New Roman" w:eastAsia="等线" w:cs="Times New Roman"/>
          <w:b/>
          <w:bCs w:val="0"/>
          <w:i/>
          <w:iCs w:val="0"/>
          <w:sz w:val="20"/>
          <w:szCs w:val="20"/>
          <w:lang w:eastAsia="zh-CN"/>
        </w:rPr>
        <w:t xml:space="preserve">are supported as the basis </w:t>
      </w:r>
      <w:r>
        <w:rPr>
          <w:rFonts w:hint="default" w:ascii="Times New Roman" w:hAnsi="Times New Roman" w:cs="Times New Roman"/>
          <w:b/>
          <w:bCs w:val="0"/>
          <w:i/>
          <w:iCs w:val="0"/>
          <w:sz w:val="20"/>
          <w:szCs w:val="20"/>
        </w:rPr>
        <w:t>for 6GR</w:t>
      </w:r>
    </w:p>
    <w:p w14:paraId="734BF81A">
      <w:pPr>
        <w:numPr>
          <w:ilvl w:val="0"/>
          <w:numId w:val="12"/>
        </w:numPr>
        <w:spacing w:after="180" w:line="240" w:lineRule="exact"/>
        <w:ind w:left="420" w:leftChars="0" w:hanging="420" w:firstLineChars="0"/>
        <w:rPr>
          <w:rFonts w:hint="default" w:ascii="Times New Roman" w:hAnsi="Times New Roman" w:eastAsia="宋体" w:cs="Times New Roman"/>
          <w:b/>
          <w:bCs w:val="0"/>
          <w:i/>
          <w:iCs w:val="0"/>
          <w:sz w:val="20"/>
          <w:szCs w:val="20"/>
          <w:lang w:val="en-US" w:eastAsia="zh-CN"/>
        </w:rPr>
      </w:pPr>
      <w:r>
        <w:rPr>
          <w:rFonts w:hint="eastAsia" w:ascii="Times New Roman" w:hAnsi="Times New Roman" w:cs="Times New Roman"/>
          <w:b/>
          <w:bCs w:val="0"/>
          <w:i/>
          <w:iCs w:val="0"/>
          <w:sz w:val="20"/>
          <w:szCs w:val="20"/>
          <w:lang w:val="en-US" w:eastAsia="zh-CN"/>
        </w:rPr>
        <w:t>For other waveform for 6GR, impact on MRSS need to be considered</w:t>
      </w:r>
    </w:p>
    <w:p w14:paraId="650D23E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is discussing smallest maximum supported RF and BB UE BW without spectrum aggregation for at least one low-tier device type supported by 6GR framework from physical layer perspective. Normally, the minimum CBW is defined in RAN4 taking operators</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spectrum allocation, SSB minimum bandwidth, etc, into account. For NR, the CBW multiples of 5MHz is the basic. However, irregular channel bandwidth is considered in later release. There are some candidate solutions, e.g. overlapping channels from network perspective, are considered in the study phase. In the work phase, RAN4 adopt the solution to define native irregular channel BWs, in detail, 7MHz is defined in Release 19 and 6MHz is defined in Release 20. For 6GR, One issue is how to support irregular CBW in 6GR. Defining native irregular channel BWs, e.g. 6MHz, 7MHz, may not cover all the possible irregular channel bandwidth from operators, and will introduce RAN4 workload. If the solution like overlapping channels from network perspective are considered, it may have impact on MRSS. It is proposed to discuss whether MRSS is considered for irregular channel bandwidth pending on the solution to support irregular channel bandwidth.</w:t>
      </w:r>
    </w:p>
    <w:p w14:paraId="0916FBC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10: it is proposed to consider the impact on MRSS when discussing irregular channel bandwidth. The solution to support irregular channel bandwidth may have impact on MRSS support.</w:t>
      </w:r>
    </w:p>
    <w:p w14:paraId="7A9AD1E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Different sub-carrier spacing for MRSS between 5G and 6G will increase the spectral leakage and introduce ICI. The scheduling coordination would be very complicated and the efficiency for spectrum sharing will be decreased. To facilitate MRSS between 5G NR and 6GR within legacy bands, it is expected that 6GR support the SCS configurations currently predominant in 5G NR deployments. </w:t>
      </w:r>
    </w:p>
    <w:p w14:paraId="306DDC9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RAN1 has agreed that 15kHz SCS for FDD and 30kHz SCS for TDD are supported for sub 6GHz. </w:t>
      </w:r>
      <w:r>
        <w:rPr>
          <w:rFonts w:ascii="Times New Roman" w:hAnsi="Times New Roman" w:eastAsia="等线"/>
          <w:sz w:val="20"/>
          <w:szCs w:val="20"/>
        </w:rPr>
        <w:t>120kHz is supported</w:t>
      </w:r>
      <w:r>
        <w:rPr>
          <w:rFonts w:hint="eastAsia" w:ascii="Times New Roman" w:hAnsi="Times New Roman" w:eastAsia="等线"/>
          <w:sz w:val="20"/>
          <w:szCs w:val="20"/>
          <w:lang w:val="en-US" w:eastAsia="zh-CN"/>
        </w:rPr>
        <w:t xml:space="preserve"> for the frequency range between 24.25GHz - 52.6GHz. </w:t>
      </w:r>
      <w:r>
        <w:rPr>
          <w:rFonts w:hint="eastAsia" w:ascii="Times New Roman" w:hAnsi="Times New Roman" w:eastAsia="等线"/>
          <w:bCs/>
          <w:iCs/>
          <w:sz w:val="20"/>
          <w:szCs w:val="20"/>
          <w:lang w:val="en-US" w:eastAsia="zh-CN"/>
        </w:rPr>
        <w:t>FFS other SCS options. It is proposed to follow RAN1 agreements.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F603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01A9408">
            <w:pPr>
              <w:adjustRightInd w:val="0"/>
              <w:snapToGrid w:val="0"/>
              <w:spacing w:after="120"/>
              <w:rPr>
                <w:rFonts w:hint="default" w:ascii="Times New Roman" w:hAnsi="Times New Roman" w:eastAsia="等线"/>
                <w:sz w:val="20"/>
                <w:szCs w:val="20"/>
                <w:highlight w:val="green"/>
                <w:lang w:val="en-US" w:eastAsia="zh-CN"/>
              </w:rPr>
            </w:pPr>
            <w:r>
              <w:rPr>
                <w:rFonts w:ascii="Times New Roman" w:hAnsi="Times New Roman" w:eastAsia="等线"/>
                <w:sz w:val="20"/>
                <w:szCs w:val="20"/>
                <w:highlight w:val="green"/>
              </w:rPr>
              <w:t>Agreement</w:t>
            </w:r>
            <w:r>
              <w:rPr>
                <w:rFonts w:hint="eastAsia" w:ascii="Times New Roman" w:hAnsi="Times New Roman" w:eastAsia="等线"/>
                <w:sz w:val="20"/>
                <w:szCs w:val="20"/>
                <w:highlight w:val="green"/>
                <w:lang w:val="en-US" w:eastAsia="zh-CN"/>
              </w:rPr>
              <w:t xml:space="preserve"> in RAN#109</w:t>
            </w:r>
          </w:p>
          <w:p w14:paraId="06E88276">
            <w:pPr>
              <w:pStyle w:val="14"/>
              <w:widowControl w:val="0"/>
              <w:numPr>
                <w:ilvl w:val="0"/>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 xml:space="preserve">6GR takes the following SCS as start point for discussion for all the signals/channels except PRACH. </w:t>
            </w:r>
          </w:p>
          <w:p w14:paraId="55DB0661">
            <w:pPr>
              <w:pStyle w:val="14"/>
              <w:widowControl w:val="0"/>
              <w:numPr>
                <w:ilvl w:val="1"/>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sub 6GHz</w:t>
            </w:r>
          </w:p>
          <w:p w14:paraId="0A9364B7">
            <w:pPr>
              <w:pStyle w:val="14"/>
              <w:widowControl w:val="0"/>
              <w:numPr>
                <w:ilvl w:val="2"/>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is at least supported</w:t>
            </w:r>
          </w:p>
          <w:p w14:paraId="49FD59BE">
            <w:pPr>
              <w:pStyle w:val="14"/>
              <w:widowControl w:val="0"/>
              <w:numPr>
                <w:ilvl w:val="3"/>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15kHz SCS for FDD, 30kHz SCS for TDD</w:t>
            </w:r>
          </w:p>
          <w:p w14:paraId="53E29D68">
            <w:pPr>
              <w:pStyle w:val="14"/>
              <w:widowControl w:val="0"/>
              <w:numPr>
                <w:ilvl w:val="2"/>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30kHz SCS for FDD for around e.g., 1-2.5GHz</w:t>
            </w:r>
          </w:p>
          <w:p w14:paraId="42EE80DB">
            <w:pPr>
              <w:pStyle w:val="14"/>
              <w:widowControl w:val="0"/>
              <w:numPr>
                <w:ilvl w:val="2"/>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7.5kHz SCS for sub1GHz (FDD)</w:t>
            </w:r>
          </w:p>
          <w:p w14:paraId="089305EB">
            <w:pPr>
              <w:pStyle w:val="14"/>
              <w:widowControl w:val="0"/>
              <w:numPr>
                <w:ilvl w:val="2"/>
                <w:numId w:val="13"/>
              </w:numPr>
              <w:adjustRightInd w:val="0"/>
              <w:snapToGrid w:val="0"/>
              <w:spacing w:before="120" w:after="120"/>
              <w:ind w:leftChars="0"/>
              <w:rPr>
                <w:rFonts w:ascii="Times New Roman" w:hAnsi="Times New Roman" w:eastAsia="等线"/>
                <w:strike/>
                <w:sz w:val="20"/>
                <w:szCs w:val="20"/>
              </w:rPr>
            </w:pPr>
            <w:r>
              <w:rPr>
                <w:rFonts w:ascii="Times New Roman" w:hAnsi="Times New Roman" w:eastAsia="等线"/>
                <w:strike/>
                <w:sz w:val="20"/>
                <w:szCs w:val="20"/>
              </w:rPr>
              <w:t>Whether to discuss the FFS will be subject to RANP decision.</w:t>
            </w:r>
          </w:p>
          <w:p w14:paraId="6D81C035">
            <w:pPr>
              <w:pStyle w:val="14"/>
              <w:widowControl w:val="0"/>
              <w:numPr>
                <w:ilvl w:val="1"/>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around 7GHz</w:t>
            </w:r>
          </w:p>
          <w:p w14:paraId="1FE8C24A">
            <w:pPr>
              <w:pStyle w:val="14"/>
              <w:widowControl w:val="0"/>
              <w:numPr>
                <w:ilvl w:val="2"/>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03859DE7">
            <w:pPr>
              <w:pStyle w:val="14"/>
              <w:widowControl w:val="0"/>
              <w:numPr>
                <w:ilvl w:val="3"/>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30kHz, 60kHz</w:t>
            </w:r>
          </w:p>
          <w:p w14:paraId="45E72F28">
            <w:pPr>
              <w:pStyle w:val="14"/>
              <w:widowControl w:val="0"/>
              <w:numPr>
                <w:ilvl w:val="1"/>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For around 15GHz</w:t>
            </w:r>
          </w:p>
          <w:p w14:paraId="50271FEB">
            <w:pPr>
              <w:pStyle w:val="14"/>
              <w:widowControl w:val="0"/>
              <w:numPr>
                <w:ilvl w:val="2"/>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The following subcarrier spacing options can be studied</w:t>
            </w:r>
          </w:p>
          <w:p w14:paraId="468169A0">
            <w:pPr>
              <w:pStyle w:val="14"/>
              <w:widowControl w:val="0"/>
              <w:numPr>
                <w:ilvl w:val="3"/>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 xml:space="preserve">30kHz, 60kHz, 120kHz </w:t>
            </w:r>
          </w:p>
          <w:p w14:paraId="28A73925">
            <w:pPr>
              <w:pStyle w:val="14"/>
              <w:widowControl w:val="0"/>
              <w:numPr>
                <w:ilvl w:val="2"/>
                <w:numId w:val="13"/>
              </w:numPr>
              <w:adjustRightInd w:val="0"/>
              <w:snapToGrid w:val="0"/>
              <w:spacing w:before="120" w:after="120"/>
              <w:ind w:leftChars="0"/>
              <w:rPr>
                <w:rFonts w:ascii="Times New Roman" w:hAnsi="Times New Roman" w:eastAsia="等线"/>
                <w:strike/>
                <w:sz w:val="20"/>
                <w:szCs w:val="20"/>
              </w:rPr>
            </w:pPr>
            <w:r>
              <w:rPr>
                <w:rFonts w:ascii="Times New Roman" w:hAnsi="Times New Roman" w:eastAsia="等线"/>
                <w:strike/>
                <w:sz w:val="20"/>
                <w:szCs w:val="20"/>
              </w:rPr>
              <w:t>Whether to discuss it will be subject to RANP decision</w:t>
            </w:r>
          </w:p>
          <w:p w14:paraId="137A7D28">
            <w:pPr>
              <w:pStyle w:val="14"/>
              <w:widowControl w:val="0"/>
              <w:numPr>
                <w:ilvl w:val="1"/>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For between 24.25GHz - 52.6GHz</w:t>
            </w:r>
          </w:p>
          <w:p w14:paraId="6070EEA9">
            <w:pPr>
              <w:pStyle w:val="14"/>
              <w:widowControl w:val="0"/>
              <w:numPr>
                <w:ilvl w:val="2"/>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Subcarrier spacing 120kHz is supported</w:t>
            </w:r>
          </w:p>
          <w:p w14:paraId="6F072646">
            <w:pPr>
              <w:pStyle w:val="14"/>
              <w:widowControl w:val="0"/>
              <w:numPr>
                <w:ilvl w:val="1"/>
                <w:numId w:val="13"/>
              </w:numPr>
              <w:adjustRightInd w:val="0"/>
              <w:snapToGrid w:val="0"/>
              <w:spacing w:before="120" w:after="120"/>
              <w:ind w:leftChars="0"/>
              <w:rPr>
                <w:rFonts w:ascii="Times New Roman" w:hAnsi="Times New Roman" w:eastAsia="等线"/>
                <w:sz w:val="20"/>
                <w:szCs w:val="20"/>
              </w:rPr>
            </w:pPr>
            <w:r>
              <w:rPr>
                <w:rFonts w:ascii="Times New Roman" w:hAnsi="Times New Roman" w:eastAsia="等线"/>
                <w:sz w:val="20"/>
                <w:szCs w:val="20"/>
              </w:rPr>
              <w:t>FFS whether to allow using additional subcarrier spacing for SSB</w:t>
            </w:r>
          </w:p>
          <w:p w14:paraId="027FC720">
            <w:pPr>
              <w:pStyle w:val="14"/>
              <w:widowControl w:val="0"/>
              <w:numPr>
                <w:ilvl w:val="0"/>
                <w:numId w:val="13"/>
              </w:numPr>
              <w:adjustRightInd w:val="0"/>
              <w:snapToGrid w:val="0"/>
              <w:spacing w:before="120" w:after="120"/>
              <w:ind w:leftChars="0"/>
              <w:rPr>
                <w:rFonts w:hint="eastAsia" w:ascii="Times New Roman" w:hAnsi="Times New Roman" w:eastAsia="等线"/>
                <w:bCs/>
                <w:iCs/>
                <w:sz w:val="20"/>
                <w:szCs w:val="20"/>
                <w:vertAlign w:val="baseline"/>
                <w:lang w:val="en-US" w:eastAsia="zh-CN"/>
              </w:rPr>
            </w:pPr>
            <w:r>
              <w:rPr>
                <w:rFonts w:ascii="Times New Roman" w:hAnsi="Times New Roman" w:eastAsia="等线"/>
                <w:sz w:val="20"/>
                <w:szCs w:val="20"/>
              </w:rPr>
              <w:t>FFS subcarrier spacing for PRACH and up to initial access discussion.</w:t>
            </w:r>
          </w:p>
        </w:tc>
      </w:tr>
    </w:tbl>
    <w:p w14:paraId="23C6AA86">
      <w:pPr>
        <w:spacing w:after="180" w:line="240" w:lineRule="exact"/>
        <w:rPr>
          <w:rFonts w:hint="eastAsia" w:ascii="Times New Roman" w:hAnsi="Times New Roman" w:eastAsia="等线"/>
          <w:bCs/>
          <w:iCs/>
          <w:sz w:val="20"/>
          <w:szCs w:val="20"/>
          <w:lang w:val="en-US" w:eastAsia="zh-CN"/>
        </w:rPr>
      </w:pPr>
    </w:p>
    <w:p w14:paraId="27904F7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11:  the numerology discussion for 6GR in legacy band has impact on MRSS. It is proposed to follow RAN1 agreements to take 15KHz SCS for FDD and 30KHz SCS for TDD.</w:t>
      </w:r>
    </w:p>
    <w:p w14:paraId="0094BEB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 facilitate MRSS, channel raster also need to be considered. If the channel raster are not aligned for MRSS between 5G and 6G, it will complex the scheduling and reduce spectrum efficiency. In NR, 100KHz channel raster are considered for band below 3GHz except band n41 to align with LTE channel raster. For MRSS between NR and 6G, we are not sure whether 100KHz channel raster are still needed for low band, and can be further discussed.</w:t>
      </w:r>
    </w:p>
    <w:p w14:paraId="34FA4DA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12: For MRSS between NR and 6GR, it is proposed to discuss whether 100KHz channel raster for low band are still needed.</w:t>
      </w:r>
    </w:p>
    <w:p w14:paraId="3F84383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7.5KHz uplink shift is considered for Dynamic Spectrum Sharing (DSS) between LTE and NR. Since LTE uplink and NR uplink adopt different waveform, 7.5KHz Uplink shift is used to guarantee the orthogonality between carriers and avoid inter-carrier inference. As discussed above, RAN1 has agreed that the </w:t>
      </w:r>
      <w:r>
        <w:rPr>
          <w:rFonts w:hint="default" w:ascii="Times New Roman" w:hAnsi="Times New Roman" w:cs="Times New Roman"/>
          <w:sz w:val="20"/>
          <w:szCs w:val="20"/>
        </w:rPr>
        <w:t xml:space="preserve">waveforms defined in 5G NR </w:t>
      </w:r>
      <w:r>
        <w:rPr>
          <w:rFonts w:hint="default" w:ascii="Times New Roman" w:hAnsi="Times New Roman" w:eastAsia="等线" w:cs="Times New Roman"/>
          <w:sz w:val="20"/>
          <w:szCs w:val="20"/>
          <w:lang w:eastAsia="zh-CN"/>
        </w:rPr>
        <w:t xml:space="preserve">are supported as the basis </w:t>
      </w:r>
      <w:r>
        <w:rPr>
          <w:rFonts w:hint="default" w:ascii="Times New Roman" w:hAnsi="Times New Roman" w:cs="Times New Roman"/>
          <w:sz w:val="20"/>
          <w:szCs w:val="20"/>
        </w:rPr>
        <w:t>for 6GR</w:t>
      </w:r>
      <w:r>
        <w:rPr>
          <w:rFonts w:hint="eastAsia" w:ascii="Times New Roman" w:hAnsi="Times New Roman" w:cs="Times New Roman"/>
          <w:sz w:val="20"/>
          <w:szCs w:val="20"/>
          <w:lang w:val="en-US" w:eastAsia="zh-CN"/>
        </w:rPr>
        <w:t xml:space="preserve">, i.e. CP-OFDM and DFT-s-OFDM waveforms are supported for 6GR for uplink. No need to consider </w:t>
      </w:r>
      <w:r>
        <w:rPr>
          <w:rFonts w:hint="eastAsia" w:ascii="Times New Roman" w:hAnsi="Times New Roman" w:eastAsia="等线"/>
          <w:bCs/>
          <w:iCs/>
          <w:sz w:val="20"/>
          <w:szCs w:val="20"/>
          <w:lang w:val="en-US" w:eastAsia="zh-CN"/>
        </w:rPr>
        <w:t>7.5KHz Uplink shift for MRSS between NR and 6GR.</w:t>
      </w:r>
    </w:p>
    <w:p w14:paraId="571BF6D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13: </w:t>
      </w:r>
      <w:r>
        <w:rPr>
          <w:rFonts w:hint="eastAsia" w:ascii="Times New Roman" w:hAnsi="Times New Roman" w:cs="Times New Roman"/>
          <w:b/>
          <w:bCs w:val="0"/>
          <w:i/>
          <w:iCs w:val="0"/>
          <w:sz w:val="20"/>
          <w:szCs w:val="20"/>
          <w:lang w:val="en-US" w:eastAsia="zh-CN"/>
        </w:rPr>
        <w:t xml:space="preserve">No need to consider </w:t>
      </w:r>
      <w:r>
        <w:rPr>
          <w:rFonts w:hint="eastAsia" w:ascii="Times New Roman" w:hAnsi="Times New Roman" w:eastAsia="等线"/>
          <w:b/>
          <w:bCs w:val="0"/>
          <w:i/>
          <w:iCs w:val="0"/>
          <w:sz w:val="20"/>
          <w:szCs w:val="20"/>
          <w:lang w:val="en-US" w:eastAsia="zh-CN"/>
        </w:rPr>
        <w:t>7.5KHz uplink shift for MRSS between NR and 6GR.</w:t>
      </w:r>
    </w:p>
    <w:p w14:paraId="10095C2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Inter-RAT mobility between NR and 6G, including handover and cell re-selection, is an important and simple way to ensure UE</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s service continuity when it moves between a 6G cell and a 5G cell. However, the corresponding interruption during inter-RAT handover cannot be avoided. For 6G, we may aim for a solution to minimize the interruption time. Normally, handover interruption comprises the time required to search the target cell, time for fine time tracking, time for UE UE processing. One way to reduce interruption delay is to discuss whether the components of interruption and the time for each components can be reduced.</w:t>
      </w:r>
    </w:p>
    <w:p w14:paraId="5EBF21D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14: it is proposed to minimize handover interruption time for inter-RAT handover between NR and 6GR. </w:t>
      </w:r>
    </w:p>
    <w:p w14:paraId="1C85D79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consideration is to minimize the data loss when performing inter-RAT measurement. In Rel-18, inter-RAT measurements without gaps, including inter-RAT NR measurement and inter-RAT LTE measurement, are introduced in RAN4 and helpful in reducing the impact on throughput due to measurement gap. It is proposed to support inter-RAT measurements without gaps from 6G day-1.</w:t>
      </w:r>
    </w:p>
    <w:p w14:paraId="2DD7A53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15</w:t>
      </w:r>
      <w:bookmarkStart w:id="8" w:name="_GoBack"/>
      <w:bookmarkEnd w:id="8"/>
      <w:r>
        <w:rPr>
          <w:rFonts w:hint="eastAsia" w:ascii="Times New Roman" w:hAnsi="Times New Roman" w:eastAsia="等线"/>
          <w:b/>
          <w:bCs w:val="0"/>
          <w:i/>
          <w:iCs w:val="0"/>
          <w:sz w:val="20"/>
          <w:szCs w:val="20"/>
          <w:lang w:val="en-US" w:eastAsia="zh-CN"/>
        </w:rPr>
        <w:t>: it is proposed to support inter-RAT measurements without gaps, including inter-RAT NR measurement without gap and inter-RAT 6GR measurement without gap, from 6G day-1.</w:t>
      </w:r>
    </w:p>
    <w:p w14:paraId="52671CCF">
      <w:pPr>
        <w:spacing w:after="180" w:line="240" w:lineRule="exact"/>
        <w:rPr>
          <w:rFonts w:hint="eastAsia"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spectrum sharing</w:t>
      </w:r>
      <w:r>
        <w:rPr>
          <w:rFonts w:hint="eastAsia" w:ascii="Times New Roman" w:hAnsi="Times New Roman"/>
          <w:sz w:val="20"/>
          <w:szCs w:val="20"/>
        </w:rPr>
        <w:t>. The proposals are:</w:t>
      </w:r>
    </w:p>
    <w:p w14:paraId="3AC397D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Multi-RAT Spectrum Sharing, it is proposed that RAN4 focus on MRSS between 6GR and NR.</w:t>
      </w:r>
    </w:p>
    <w:p w14:paraId="72BCD6B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inter-RAT mobility, it is proposed that RAN4 focus on inter-RAT mobility between 6GR and NR .</w:t>
      </w:r>
    </w:p>
    <w:p w14:paraId="7B93523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to consider the spectrum sharing between 6GR and NB-IoT, spectrum sharing between 6GR and eMTC.</w:t>
      </w:r>
    </w:p>
    <w:p w14:paraId="3882E189">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MRSS between 6GR and NR, it is proposed to focus on legacy bands where there is commercial NR deployment in FR1. FFS whether to consider MRSS for FR2-1.</w:t>
      </w:r>
    </w:p>
    <w:p w14:paraId="3E2C80D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for the legacy bands where there is no commercial NR deployment e.g. U6G, and new 6G spectrum, no need to consider MRSS.</w:t>
      </w:r>
    </w:p>
    <w:p w14:paraId="7768419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6: it is proposed to support MRSS in both TDD and FDD. </w:t>
      </w:r>
    </w:p>
    <w:p w14:paraId="497E301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it is proposed to firstly identify the aspects that RAN4 need to study for MRSS. </w:t>
      </w:r>
    </w:p>
    <w:p w14:paraId="7D39081E">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to facilitate MRSS, it is proposed to taking following aspects as starting point for RAN4 study</w:t>
      </w:r>
    </w:p>
    <w:p w14:paraId="0358E83D">
      <w:pPr>
        <w:numPr>
          <w:ilvl w:val="0"/>
          <w:numId w:val="9"/>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Waveform </w:t>
      </w:r>
    </w:p>
    <w:p w14:paraId="1DCB4941">
      <w:pPr>
        <w:numPr>
          <w:ilvl w:val="0"/>
          <w:numId w:val="9"/>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CBW</w:t>
      </w:r>
    </w:p>
    <w:p w14:paraId="2B6B1534">
      <w:pPr>
        <w:numPr>
          <w:ilvl w:val="0"/>
          <w:numId w:val="9"/>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Numerology</w:t>
      </w:r>
    </w:p>
    <w:p w14:paraId="1F6991AE">
      <w:pPr>
        <w:numPr>
          <w:ilvl w:val="0"/>
          <w:numId w:val="9"/>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Channel/Synchronization raster</w:t>
      </w:r>
    </w:p>
    <w:p w14:paraId="4E1AE88C">
      <w:pPr>
        <w:numPr>
          <w:ilvl w:val="0"/>
          <w:numId w:val="9"/>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RF requirements</w:t>
      </w:r>
    </w:p>
    <w:p w14:paraId="37D55450">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9: it is proposed to consider the impact on MRSS when discuss the waveform for 6GR</w:t>
      </w:r>
    </w:p>
    <w:p w14:paraId="52F0395B">
      <w:pPr>
        <w:numPr>
          <w:ilvl w:val="0"/>
          <w:numId w:val="12"/>
        </w:numPr>
        <w:spacing w:after="180" w:line="240" w:lineRule="exact"/>
        <w:ind w:left="420" w:leftChars="0" w:hanging="420" w:firstLineChars="0"/>
        <w:rPr>
          <w:rFonts w:hint="default" w:ascii="Times New Roman" w:hAnsi="Times New Roman" w:cs="Times New Roman"/>
          <w:b/>
          <w:bCs w:val="0"/>
          <w:i/>
          <w:iCs w:val="0"/>
          <w:sz w:val="20"/>
          <w:szCs w:val="20"/>
        </w:rPr>
      </w:pPr>
      <w:r>
        <w:rPr>
          <w:rFonts w:hint="eastAsia" w:ascii="Times New Roman" w:hAnsi="Times New Roman" w:eastAsia="等线"/>
          <w:b/>
          <w:bCs w:val="0"/>
          <w:i/>
          <w:iCs w:val="0"/>
          <w:sz w:val="20"/>
          <w:szCs w:val="20"/>
          <w:lang w:val="en-US" w:eastAsia="zh-CN"/>
        </w:rPr>
        <w:t xml:space="preserve">RAN1 agreed that the </w:t>
      </w:r>
      <w:r>
        <w:rPr>
          <w:rFonts w:hint="default" w:ascii="Times New Roman" w:hAnsi="Times New Roman" w:cs="Times New Roman"/>
          <w:b/>
          <w:bCs w:val="0"/>
          <w:i/>
          <w:iCs w:val="0"/>
          <w:sz w:val="20"/>
          <w:szCs w:val="20"/>
        </w:rPr>
        <w:t xml:space="preserve">waveforms defined in 5G NR </w:t>
      </w:r>
      <w:r>
        <w:rPr>
          <w:rFonts w:hint="default" w:ascii="Times New Roman" w:hAnsi="Times New Roman" w:eastAsia="等线" w:cs="Times New Roman"/>
          <w:b/>
          <w:bCs w:val="0"/>
          <w:i/>
          <w:iCs w:val="0"/>
          <w:sz w:val="20"/>
          <w:szCs w:val="20"/>
          <w:lang w:eastAsia="zh-CN"/>
        </w:rPr>
        <w:t xml:space="preserve">are supported as the basis </w:t>
      </w:r>
      <w:r>
        <w:rPr>
          <w:rFonts w:hint="default" w:ascii="Times New Roman" w:hAnsi="Times New Roman" w:cs="Times New Roman"/>
          <w:b/>
          <w:bCs w:val="0"/>
          <w:i/>
          <w:iCs w:val="0"/>
          <w:sz w:val="20"/>
          <w:szCs w:val="20"/>
        </w:rPr>
        <w:t>for 6GR</w:t>
      </w:r>
    </w:p>
    <w:p w14:paraId="25720464">
      <w:pPr>
        <w:numPr>
          <w:ilvl w:val="0"/>
          <w:numId w:val="12"/>
        </w:numPr>
        <w:spacing w:after="180" w:line="240" w:lineRule="exact"/>
        <w:ind w:left="420" w:leftChars="0" w:hanging="420" w:firstLineChars="0"/>
        <w:rPr>
          <w:rFonts w:hint="default" w:ascii="Times New Roman" w:hAnsi="Times New Roman" w:eastAsia="宋体" w:cs="Times New Roman"/>
          <w:b/>
          <w:bCs w:val="0"/>
          <w:i/>
          <w:iCs w:val="0"/>
          <w:sz w:val="20"/>
          <w:szCs w:val="20"/>
          <w:lang w:val="en-US" w:eastAsia="zh-CN"/>
        </w:rPr>
      </w:pPr>
      <w:r>
        <w:rPr>
          <w:rFonts w:hint="eastAsia" w:ascii="Times New Roman" w:hAnsi="Times New Roman" w:cs="Times New Roman"/>
          <w:b/>
          <w:bCs w:val="0"/>
          <w:i/>
          <w:iCs w:val="0"/>
          <w:sz w:val="20"/>
          <w:szCs w:val="20"/>
          <w:lang w:val="en-US" w:eastAsia="zh-CN"/>
        </w:rPr>
        <w:t>For other waveform for 6GR, impact on MRSS need to be considered</w:t>
      </w:r>
    </w:p>
    <w:p w14:paraId="51F2C91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10: it is proposed to consider the impact on MRSS when discussing irregular channel bandwidth. The solution to support irregular channel bandwidth may have impact on MRSS support.</w:t>
      </w:r>
    </w:p>
    <w:p w14:paraId="20843144">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11:  the numerology discussion for 6GR in legacy band has impact on MRSS. It is proposed to follow RAN1 agreements to take 15KHz SCS for FDD and 30KHz SCS for TDD.</w:t>
      </w:r>
    </w:p>
    <w:p w14:paraId="12F642C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12: For MRSS between NR and 6GR, it is proposed to discuss whether 100KHz channel raster for low band are still needed.</w:t>
      </w:r>
    </w:p>
    <w:p w14:paraId="215C783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13: </w:t>
      </w:r>
      <w:r>
        <w:rPr>
          <w:rFonts w:hint="eastAsia" w:ascii="Times New Roman" w:hAnsi="Times New Roman" w:cs="Times New Roman"/>
          <w:b/>
          <w:bCs w:val="0"/>
          <w:i/>
          <w:iCs w:val="0"/>
          <w:sz w:val="20"/>
          <w:szCs w:val="20"/>
          <w:lang w:val="en-US" w:eastAsia="zh-CN"/>
        </w:rPr>
        <w:t xml:space="preserve">No need to consider </w:t>
      </w:r>
      <w:r>
        <w:rPr>
          <w:rFonts w:hint="eastAsia" w:ascii="Times New Roman" w:hAnsi="Times New Roman" w:eastAsia="等线"/>
          <w:b/>
          <w:bCs w:val="0"/>
          <w:i/>
          <w:iCs w:val="0"/>
          <w:sz w:val="20"/>
          <w:szCs w:val="20"/>
          <w:lang w:val="en-US" w:eastAsia="zh-CN"/>
        </w:rPr>
        <w:t>7.5KHz uplink shift for MRSS between NR and 6GR.</w:t>
      </w:r>
    </w:p>
    <w:p w14:paraId="171A46A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14: it is proposed to minimize handover interruption time for inter-RAT handover between NR and 6GR. </w:t>
      </w:r>
    </w:p>
    <w:p w14:paraId="6A85F0D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15: it is proposed to support inter-RAT measurements without gaps, including inter-RAT NR measurement without gap and inter-RAT 6GR measurement without gap, from 6G day-1.</w:t>
      </w:r>
    </w:p>
    <w:p w14:paraId="0DF5987A">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6"/>
        <w:framePr w:wrap="auto" w:vAnchor="margin" w:hAnchor="text" w:yAlign="inline"/>
        <w:numPr>
          <w:ilvl w:val="0"/>
          <w:numId w:val="14"/>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6"/>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7C6161F">
      <w:pPr>
        <w:pStyle w:val="16"/>
        <w:framePr w:wrap="auto" w:vAnchor="margin" w:hAnchor="text" w:yAlign="inline"/>
        <w:numPr>
          <w:ilvl w:val="0"/>
          <w:numId w:val="14"/>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RP-252870, pCR for 38.914 on requirements for architecture and migration for 6G</w:t>
      </w:r>
    </w:p>
    <w:p w14:paraId="4D6A8ED9">
      <w:pPr>
        <w:pStyle w:val="16"/>
        <w:framePr w:wrap="auto" w:vAnchor="margin" w:hAnchor="text" w:yAlign="inline"/>
        <w:numPr>
          <w:ilvl w:val="0"/>
          <w:numId w:val="14"/>
        </w:numPr>
        <w:ind w:left="0" w:leftChars="0" w:right="400" w:firstLine="0" w:firstLineChars="0"/>
        <w:jc w:val="both"/>
        <w:rPr>
          <w:rFonts w:hint="default" w:ascii="Times" w:hAnsi="Times" w:eastAsia="宋体"/>
          <w:b w:val="0"/>
          <w:sz w:val="20"/>
          <w:lang w:val="en-US" w:eastAsia="zh-CN"/>
        </w:rPr>
      </w:pPr>
      <w:r>
        <w:rPr>
          <w:rFonts w:hint="default" w:ascii="Times" w:hAnsi="Times" w:eastAsia="宋体"/>
          <w:b w:val="0"/>
          <w:sz w:val="20"/>
          <w:lang w:val="en-US" w:eastAsia="zh-CN"/>
        </w:rPr>
        <w:t>RP-2529</w:t>
      </w:r>
      <w:r>
        <w:rPr>
          <w:rFonts w:hint="eastAsia" w:ascii="Times" w:hAnsi="Times" w:eastAsia="宋体"/>
          <w:b w:val="0"/>
          <w:sz w:val="20"/>
          <w:lang w:val="en-US" w:eastAsia="zh-CN"/>
        </w:rPr>
        <w:t>60, pCR for 38.914 on Requirements of new and existing services for 6G</w:t>
      </w:r>
    </w:p>
    <w:p w14:paraId="32EF543F">
      <w:pPr>
        <w:pStyle w:val="16"/>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0B136A"/>
    <w:multiLevelType w:val="singleLevel"/>
    <w:tmpl w:val="AE0B136A"/>
    <w:lvl w:ilvl="0" w:tentative="0">
      <w:start w:val="1"/>
      <w:numFmt w:val="bullet"/>
      <w:lvlText w:val=""/>
      <w:lvlJc w:val="left"/>
      <w:pPr>
        <w:tabs>
          <w:tab w:val="left" w:pos="420"/>
        </w:tabs>
        <w:ind w:left="840" w:hanging="420"/>
      </w:pPr>
      <w:rPr>
        <w:rFonts w:hint="default" w:ascii="Wingdings" w:hAnsi="Wingdings"/>
      </w:rPr>
    </w:lvl>
  </w:abstractNum>
  <w:abstractNum w:abstractNumId="1">
    <w:nsid w:val="B3B1671C"/>
    <w:multiLevelType w:val="singleLevel"/>
    <w:tmpl w:val="B3B1671C"/>
    <w:lvl w:ilvl="0" w:tentative="0">
      <w:start w:val="1"/>
      <w:numFmt w:val="bullet"/>
      <w:lvlText w:val=""/>
      <w:lvlJc w:val="left"/>
      <w:pPr>
        <w:ind w:left="420" w:hanging="420"/>
      </w:pPr>
      <w:rPr>
        <w:rFonts w:hint="default" w:ascii="Wingdings" w:hAnsi="Wingdings"/>
      </w:rPr>
    </w:lvl>
  </w:abstractNum>
  <w:abstractNum w:abstractNumId="2">
    <w:nsid w:val="C308A715"/>
    <w:multiLevelType w:val="multilevel"/>
    <w:tmpl w:val="C308A7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DE02989D"/>
    <w:multiLevelType w:val="singleLevel"/>
    <w:tmpl w:val="DE02989D"/>
    <w:lvl w:ilvl="0" w:tentative="0">
      <w:start w:val="7"/>
      <w:numFmt w:val="decimal"/>
      <w:suff w:val="space"/>
      <w:lvlText w:val="(%1)"/>
      <w:lvlJc w:val="left"/>
    </w:lvl>
  </w:abstractNum>
  <w:abstractNum w:abstractNumId="4">
    <w:nsid w:val="F6871401"/>
    <w:multiLevelType w:val="singleLevel"/>
    <w:tmpl w:val="F6871401"/>
    <w:lvl w:ilvl="0" w:tentative="0">
      <w:start w:val="1"/>
      <w:numFmt w:val="decimal"/>
      <w:suff w:val="space"/>
      <w:lvlText w:val="[%1]"/>
      <w:lvlJc w:val="left"/>
    </w:lvl>
  </w:abstractNum>
  <w:abstractNum w:abstractNumId="5">
    <w:nsid w:val="06B87F67"/>
    <w:multiLevelType w:val="multilevel"/>
    <w:tmpl w:val="06B87F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9DC78ED"/>
    <w:multiLevelType w:val="multilevel"/>
    <w:tmpl w:val="09DC78ED"/>
    <w:lvl w:ilvl="0" w:tentative="0">
      <w:start w:val="0"/>
      <w:numFmt w:val="bullet"/>
      <w:lvlText w:val="-"/>
      <w:lvlJc w:val="left"/>
      <w:pPr>
        <w:ind w:left="440" w:hanging="440"/>
      </w:pPr>
      <w:rPr>
        <w:rFonts w:hint="default" w:ascii="Times" w:hAnsi="Times" w:eastAsia="等线" w:cs="Times"/>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o"/>
      <w:lvlJc w:val="left"/>
      <w:pPr>
        <w:ind w:left="1760" w:hanging="440"/>
      </w:pPr>
      <w:rPr>
        <w:rFonts w:hint="default" w:ascii="Courier New" w:hAnsi="Courier New" w:cs="Courier New"/>
      </w:rPr>
    </w:lvl>
    <w:lvl w:ilvl="4" w:tentative="0">
      <w:start w:val="1"/>
      <w:numFmt w:val="bullet"/>
      <w:lvlText w:val="o"/>
      <w:lvlJc w:val="left"/>
      <w:pPr>
        <w:ind w:left="2200" w:hanging="440"/>
      </w:pPr>
      <w:rPr>
        <w:rFonts w:hint="default" w:ascii="Courier New" w:hAnsi="Courier New" w:cs="Courier New"/>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DC70AF4"/>
    <w:multiLevelType w:val="multilevel"/>
    <w:tmpl w:val="1DC70AF4"/>
    <w:lvl w:ilvl="0" w:tentative="0">
      <w:start w:val="1"/>
      <w:numFmt w:val="lowerLetter"/>
      <w:lvlText w:val="%1)"/>
      <w:lvlJc w:val="left"/>
      <w:pPr>
        <w:tabs>
          <w:tab w:val="left" w:pos="-840"/>
        </w:tabs>
        <w:ind w:left="600" w:hanging="360"/>
      </w:pPr>
    </w:lvl>
    <w:lvl w:ilvl="1" w:tentative="0">
      <w:start w:val="1"/>
      <w:numFmt w:val="lowerLetter"/>
      <w:lvlText w:val="%2."/>
      <w:lvlJc w:val="left"/>
      <w:pPr>
        <w:tabs>
          <w:tab w:val="left" w:pos="-840"/>
        </w:tabs>
        <w:ind w:left="1320" w:hanging="360"/>
      </w:pPr>
    </w:lvl>
    <w:lvl w:ilvl="2" w:tentative="0">
      <w:start w:val="1"/>
      <w:numFmt w:val="lowerRoman"/>
      <w:lvlText w:val="%3."/>
      <w:lvlJc w:val="right"/>
      <w:pPr>
        <w:tabs>
          <w:tab w:val="left" w:pos="-840"/>
        </w:tabs>
        <w:ind w:left="2040" w:hanging="180"/>
      </w:pPr>
    </w:lvl>
    <w:lvl w:ilvl="3" w:tentative="0">
      <w:start w:val="1"/>
      <w:numFmt w:val="decimal"/>
      <w:lvlText w:val="%4."/>
      <w:lvlJc w:val="left"/>
      <w:pPr>
        <w:tabs>
          <w:tab w:val="left" w:pos="-840"/>
        </w:tabs>
        <w:ind w:left="2760" w:hanging="360"/>
      </w:pPr>
    </w:lvl>
    <w:lvl w:ilvl="4" w:tentative="0">
      <w:start w:val="1"/>
      <w:numFmt w:val="lowerLetter"/>
      <w:lvlText w:val="%5."/>
      <w:lvlJc w:val="left"/>
      <w:pPr>
        <w:tabs>
          <w:tab w:val="left" w:pos="-840"/>
        </w:tabs>
        <w:ind w:left="3480" w:hanging="360"/>
      </w:pPr>
    </w:lvl>
    <w:lvl w:ilvl="5" w:tentative="0">
      <w:start w:val="1"/>
      <w:numFmt w:val="lowerRoman"/>
      <w:lvlText w:val="%6."/>
      <w:lvlJc w:val="right"/>
      <w:pPr>
        <w:tabs>
          <w:tab w:val="left" w:pos="-840"/>
        </w:tabs>
        <w:ind w:left="4200" w:hanging="180"/>
      </w:pPr>
    </w:lvl>
    <w:lvl w:ilvl="6" w:tentative="0">
      <w:start w:val="1"/>
      <w:numFmt w:val="decimal"/>
      <w:lvlText w:val="%7."/>
      <w:lvlJc w:val="left"/>
      <w:pPr>
        <w:tabs>
          <w:tab w:val="left" w:pos="-840"/>
        </w:tabs>
        <w:ind w:left="4920" w:hanging="360"/>
      </w:pPr>
    </w:lvl>
    <w:lvl w:ilvl="7" w:tentative="0">
      <w:start w:val="1"/>
      <w:numFmt w:val="lowerLetter"/>
      <w:lvlText w:val="%8."/>
      <w:lvlJc w:val="left"/>
      <w:pPr>
        <w:tabs>
          <w:tab w:val="left" w:pos="-840"/>
        </w:tabs>
        <w:ind w:left="5640" w:hanging="360"/>
      </w:pPr>
    </w:lvl>
    <w:lvl w:ilvl="8" w:tentative="0">
      <w:start w:val="1"/>
      <w:numFmt w:val="lowerRoman"/>
      <w:lvlText w:val="%9."/>
      <w:lvlJc w:val="right"/>
      <w:pPr>
        <w:tabs>
          <w:tab w:val="left" w:pos="-840"/>
        </w:tabs>
        <w:ind w:left="6360" w:hanging="180"/>
      </w:pPr>
    </w:lvl>
  </w:abstractNum>
  <w:abstractNum w:abstractNumId="8">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3AA46647"/>
    <w:multiLevelType w:val="multilevel"/>
    <w:tmpl w:val="3AA46647"/>
    <w:lvl w:ilvl="0" w:tentative="0">
      <w:start w:val="1"/>
      <w:numFmt w:val="decimal"/>
      <w:pStyle w:val="1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87A1663"/>
    <w:multiLevelType w:val="multilevel"/>
    <w:tmpl w:val="587A1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3"/>
  </w:num>
  <w:num w:numId="2">
    <w:abstractNumId w:val="10"/>
  </w:num>
  <w:num w:numId="3">
    <w:abstractNumId w:val="12"/>
  </w:num>
  <w:num w:numId="4">
    <w:abstractNumId w:val="9"/>
  </w:num>
  <w:num w:numId="5">
    <w:abstractNumId w:val="3"/>
  </w:num>
  <w:num w:numId="6">
    <w:abstractNumId w:val="7"/>
  </w:num>
  <w:num w:numId="7">
    <w:abstractNumId w:val="8"/>
  </w:num>
  <w:num w:numId="8">
    <w:abstractNumId w:val="2"/>
  </w:num>
  <w:num w:numId="9">
    <w:abstractNumId w:val="0"/>
  </w:num>
  <w:num w:numId="10">
    <w:abstractNumId w:val="11"/>
  </w:num>
  <w:num w:numId="11">
    <w:abstractNumId w:val="5"/>
  </w:num>
  <w:num w:numId="12">
    <w:abstractNumId w:val="1"/>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8748EE"/>
    <w:rsid w:val="03C030A6"/>
    <w:rsid w:val="04526EE6"/>
    <w:rsid w:val="05173FCA"/>
    <w:rsid w:val="053428A8"/>
    <w:rsid w:val="05CE7F14"/>
    <w:rsid w:val="06175254"/>
    <w:rsid w:val="06254DA5"/>
    <w:rsid w:val="065C4EFE"/>
    <w:rsid w:val="06E076D6"/>
    <w:rsid w:val="07CD6512"/>
    <w:rsid w:val="0881640B"/>
    <w:rsid w:val="08B50B7B"/>
    <w:rsid w:val="09405F3B"/>
    <w:rsid w:val="09B01C47"/>
    <w:rsid w:val="0A573618"/>
    <w:rsid w:val="0AB80AD4"/>
    <w:rsid w:val="0ACF434F"/>
    <w:rsid w:val="0B6C304D"/>
    <w:rsid w:val="0B943C03"/>
    <w:rsid w:val="0BD8388E"/>
    <w:rsid w:val="0C3C1697"/>
    <w:rsid w:val="0DE85960"/>
    <w:rsid w:val="0E77636A"/>
    <w:rsid w:val="0EB208AB"/>
    <w:rsid w:val="0F486821"/>
    <w:rsid w:val="0F4C27CC"/>
    <w:rsid w:val="0FA30B04"/>
    <w:rsid w:val="0FE50EF5"/>
    <w:rsid w:val="105F7F23"/>
    <w:rsid w:val="10EB1450"/>
    <w:rsid w:val="111346BF"/>
    <w:rsid w:val="11A46535"/>
    <w:rsid w:val="127D6382"/>
    <w:rsid w:val="12A27A40"/>
    <w:rsid w:val="13AD1DFD"/>
    <w:rsid w:val="142E3B2B"/>
    <w:rsid w:val="14316CAE"/>
    <w:rsid w:val="1444244B"/>
    <w:rsid w:val="14A31207"/>
    <w:rsid w:val="14A423A8"/>
    <w:rsid w:val="15273D43"/>
    <w:rsid w:val="15685863"/>
    <w:rsid w:val="159403F8"/>
    <w:rsid w:val="15C5068C"/>
    <w:rsid w:val="17ED0CBB"/>
    <w:rsid w:val="18B21538"/>
    <w:rsid w:val="19150AB5"/>
    <w:rsid w:val="198619D0"/>
    <w:rsid w:val="1A1F0E43"/>
    <w:rsid w:val="1A720A97"/>
    <w:rsid w:val="1AB30271"/>
    <w:rsid w:val="1C5120FF"/>
    <w:rsid w:val="1C812CD0"/>
    <w:rsid w:val="1C970BAC"/>
    <w:rsid w:val="1CC96948"/>
    <w:rsid w:val="1F2C6132"/>
    <w:rsid w:val="1FDE5642"/>
    <w:rsid w:val="20A3117D"/>
    <w:rsid w:val="219E0135"/>
    <w:rsid w:val="23D51059"/>
    <w:rsid w:val="23FC482E"/>
    <w:rsid w:val="25C11700"/>
    <w:rsid w:val="276521AF"/>
    <w:rsid w:val="29552CDF"/>
    <w:rsid w:val="2A7423E6"/>
    <w:rsid w:val="2C401128"/>
    <w:rsid w:val="2C974513"/>
    <w:rsid w:val="2CC24862"/>
    <w:rsid w:val="2E9742CA"/>
    <w:rsid w:val="2F3D15B9"/>
    <w:rsid w:val="2F4444D2"/>
    <w:rsid w:val="30405CA0"/>
    <w:rsid w:val="31890F43"/>
    <w:rsid w:val="322158B2"/>
    <w:rsid w:val="330607B3"/>
    <w:rsid w:val="339C103A"/>
    <w:rsid w:val="33F73CD2"/>
    <w:rsid w:val="342D50A6"/>
    <w:rsid w:val="34453CA2"/>
    <w:rsid w:val="34583730"/>
    <w:rsid w:val="35D22FBC"/>
    <w:rsid w:val="393E203F"/>
    <w:rsid w:val="39C97388"/>
    <w:rsid w:val="39FB0130"/>
    <w:rsid w:val="3B0A7A73"/>
    <w:rsid w:val="3B812128"/>
    <w:rsid w:val="3BFF4ED4"/>
    <w:rsid w:val="3BFF627B"/>
    <w:rsid w:val="3D3D3705"/>
    <w:rsid w:val="3DD71886"/>
    <w:rsid w:val="3DE8161F"/>
    <w:rsid w:val="3DEF01B7"/>
    <w:rsid w:val="3E546750"/>
    <w:rsid w:val="3E9E1A93"/>
    <w:rsid w:val="41A41AB6"/>
    <w:rsid w:val="42750B50"/>
    <w:rsid w:val="44715EBB"/>
    <w:rsid w:val="465005B9"/>
    <w:rsid w:val="46FF5367"/>
    <w:rsid w:val="47617B01"/>
    <w:rsid w:val="47E11C0A"/>
    <w:rsid w:val="480239B3"/>
    <w:rsid w:val="4BE64593"/>
    <w:rsid w:val="4D3D03C8"/>
    <w:rsid w:val="4DC1731C"/>
    <w:rsid w:val="4E1736E9"/>
    <w:rsid w:val="4E5A52AA"/>
    <w:rsid w:val="4E9B5FEF"/>
    <w:rsid w:val="50023FA3"/>
    <w:rsid w:val="505316D8"/>
    <w:rsid w:val="54C618EB"/>
    <w:rsid w:val="54CA68AA"/>
    <w:rsid w:val="5516017D"/>
    <w:rsid w:val="593772D0"/>
    <w:rsid w:val="59587923"/>
    <w:rsid w:val="5A9802AF"/>
    <w:rsid w:val="5DCC0D69"/>
    <w:rsid w:val="5FF46FBE"/>
    <w:rsid w:val="61554B37"/>
    <w:rsid w:val="627A171F"/>
    <w:rsid w:val="62BA6389"/>
    <w:rsid w:val="6361084A"/>
    <w:rsid w:val="63860958"/>
    <w:rsid w:val="63AA2F5C"/>
    <w:rsid w:val="64D4424F"/>
    <w:rsid w:val="65927733"/>
    <w:rsid w:val="65991FE6"/>
    <w:rsid w:val="65E96850"/>
    <w:rsid w:val="67010C05"/>
    <w:rsid w:val="6701538B"/>
    <w:rsid w:val="67AD54A4"/>
    <w:rsid w:val="68B305D5"/>
    <w:rsid w:val="68B74A5D"/>
    <w:rsid w:val="6A356F1A"/>
    <w:rsid w:val="6A4F7FF6"/>
    <w:rsid w:val="6AC458C1"/>
    <w:rsid w:val="6B380692"/>
    <w:rsid w:val="6C8E3A48"/>
    <w:rsid w:val="6D205895"/>
    <w:rsid w:val="6E54240F"/>
    <w:rsid w:val="6F3538B4"/>
    <w:rsid w:val="6F984846"/>
    <w:rsid w:val="704F34CF"/>
    <w:rsid w:val="715440AF"/>
    <w:rsid w:val="721B1B84"/>
    <w:rsid w:val="724D5513"/>
    <w:rsid w:val="72935C87"/>
    <w:rsid w:val="739A5EFA"/>
    <w:rsid w:val="74DC0F51"/>
    <w:rsid w:val="753E3654"/>
    <w:rsid w:val="75886832"/>
    <w:rsid w:val="758B206A"/>
    <w:rsid w:val="77D070AC"/>
    <w:rsid w:val="78B55821"/>
    <w:rsid w:val="78CB296A"/>
    <w:rsid w:val="79CD59E4"/>
    <w:rsid w:val="79D9262A"/>
    <w:rsid w:val="7A4603DC"/>
    <w:rsid w:val="7A4E0013"/>
    <w:rsid w:val="7AB15C57"/>
    <w:rsid w:val="7B110F3C"/>
    <w:rsid w:val="7BD9715F"/>
    <w:rsid w:val="7C3F4164"/>
    <w:rsid w:val="7C9A0FFB"/>
    <w:rsid w:val="7D7610C2"/>
    <w:rsid w:val="7D826577"/>
    <w:rsid w:val="7E404DF7"/>
    <w:rsid w:val="7E5073C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4"/>
    <w:basedOn w:val="3"/>
    <w:qFormat/>
    <w:uiPriority w:val="0"/>
    <w:pPr>
      <w:ind w:left="1418"/>
    </w:pPr>
  </w:style>
  <w:style w:type="table" w:styleId="12">
    <w:name w:val="Table Grid"/>
    <w:basedOn w:val="1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
    <w:name w:val="B1"/>
    <w:basedOn w:val="5"/>
    <w:qFormat/>
    <w:uiPriority w:val="0"/>
    <w:pPr>
      <w:ind w:left="568" w:hanging="284"/>
    </w:pPr>
  </w:style>
  <w:style w:type="paragraph" w:customStyle="1" w:styleId="18">
    <w:name w:val="B2"/>
    <w:basedOn w:val="4"/>
    <w:qFormat/>
    <w:uiPriority w:val="0"/>
    <w:pPr>
      <w:ind w:left="851" w:hanging="284"/>
    </w:pPr>
  </w:style>
  <w:style w:type="paragraph" w:customStyle="1" w:styleId="19">
    <w:name w:val="B3"/>
    <w:basedOn w:val="3"/>
    <w:qFormat/>
    <w:uiPriority w:val="0"/>
    <w:pPr>
      <w:ind w:left="1135" w:hanging="284"/>
    </w:pPr>
  </w:style>
  <w:style w:type="paragraph" w:customStyle="1" w:styleId="20">
    <w:name w:val="Agreement"/>
    <w:basedOn w:val="1"/>
    <w:next w:val="21"/>
    <w:qFormat/>
    <w:uiPriority w:val="99"/>
    <w:pPr>
      <w:numPr>
        <w:ilvl w:val="0"/>
        <w:numId w:val="3"/>
      </w:numPr>
      <w:spacing w:before="60"/>
    </w:pPr>
    <w:rPr>
      <w:b/>
    </w:rPr>
  </w:style>
  <w:style w:type="paragraph" w:customStyle="1" w:styleId="21">
    <w:name w:val="Doc-text2"/>
    <w:basedOn w:val="1"/>
    <w:qFormat/>
    <w:uiPriority w:val="0"/>
    <w:pPr>
      <w:tabs>
        <w:tab w:val="left" w:pos="1622"/>
      </w:tabs>
      <w:spacing w:before="0"/>
      <w:ind w:left="1622" w:hanging="363"/>
    </w:pPr>
  </w:style>
  <w:style w:type="paragraph" w:customStyle="1" w:styleId="22">
    <w:name w:val="TH"/>
    <w:basedOn w:val="1"/>
    <w:qFormat/>
    <w:uiPriority w:val="0"/>
    <w:pPr>
      <w:keepNext/>
      <w:keepLines/>
      <w:spacing w:before="60"/>
      <w:jc w:val="center"/>
    </w:pPr>
    <w:rPr>
      <w:rFonts w:ascii="Arial" w:hAnsi="Arial"/>
      <w:b/>
    </w:rPr>
  </w:style>
  <w:style w:type="paragraph" w:customStyle="1" w:styleId="23">
    <w:name w:val="TAH"/>
    <w:basedOn w:val="24"/>
    <w:qFormat/>
    <w:uiPriority w:val="0"/>
    <w:rPr>
      <w:b/>
    </w:rPr>
  </w:style>
  <w:style w:type="paragraph" w:customStyle="1" w:styleId="24">
    <w:name w:val="TAC"/>
    <w:basedOn w:val="25"/>
    <w:qFormat/>
    <w:uiPriority w:val="0"/>
    <w:pPr>
      <w:jc w:val="center"/>
    </w:pPr>
  </w:style>
  <w:style w:type="paragraph" w:customStyle="1" w:styleId="25">
    <w:name w:val="TAL"/>
    <w:basedOn w:val="1"/>
    <w:qFormat/>
    <w:uiPriority w:val="0"/>
    <w:pPr>
      <w:keepNext/>
      <w:keepLines/>
      <w:spacing w:after="0"/>
    </w:pPr>
    <w:rPr>
      <w:rFonts w:ascii="Arial" w:hAnsi="Arial"/>
      <w:sz w:val="18"/>
    </w:rPr>
  </w:style>
  <w:style w:type="paragraph" w:customStyle="1" w:styleId="26">
    <w:name w:val="TAN"/>
    <w:basedOn w:val="25"/>
    <w:qFormat/>
    <w:uiPriority w:val="0"/>
    <w:pPr>
      <w:ind w:left="851" w:hanging="851"/>
    </w:pPr>
  </w:style>
  <w:style w:type="paragraph" w:customStyle="1" w:styleId="27">
    <w:name w:val="B4"/>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5</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2025-09-29T08:56:10Z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